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60" w:line="240" w:lineRule="auto"/>
        <w:jc w:val="center"/>
        <w:rPr/>
      </w:pPr>
      <w:r w:rsidDel="00000000" w:rsidR="00000000" w:rsidRPr="00000000">
        <w:rPr>
          <w:b w:val="1"/>
          <w:bCs w:val="1"/>
          <w:color w:val="4a1c7c"/>
          <w:sz w:val="52"/>
          <w:szCs w:val="52"/>
          <w:rtl w:val="0"/>
        </w:rPr>
        <w:t xml:space="preserve">When the Code Changes</w:t>
      </w:r>
      <w:r w:rsidDel="00000000" w:rsidR="00000000" w:rsidRPr="00000000">
        <w:rPr>
          <w:rtl w:val="0"/>
        </w:rPr>
      </w:r>
    </w:p>
    <w:p w:rsidR="00000000" w:rsidDel="00000000" w:rsidP="00000000" w:rsidRDefault="00000000" w:rsidRPr="00000000" w14:paraId="00000002">
      <w:pPr>
        <w:spacing w:after="120" w:line="240" w:lineRule="auto"/>
        <w:jc w:val="center"/>
        <w:rPr/>
      </w:pPr>
      <w:r w:rsidDel="00000000" w:rsidR="00000000" w:rsidRPr="00000000">
        <w:rPr>
          <w:i w:val="1"/>
          <w:iCs w:val="1"/>
          <w:color w:val="546e7a"/>
          <w:rtl w:val="0"/>
        </w:rPr>
        <w:t xml:space="preserve">Analysing real BRCA1 and BRCA2 gene variants to connect DNA structure, protein function, and cancer risk</w:t>
      </w: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35"/>
        <w:gridCol w:w="5325"/>
        <w:tblGridChange w:id="0">
          <w:tblGrid>
            <w:gridCol w:w="4035"/>
            <w:gridCol w:w="5325"/>
          </w:tblGrid>
        </w:tblGridChange>
      </w:tblGrid>
      <w:tr>
        <w:trPr>
          <w:cantSplit w:val="0"/>
          <w:trHeight w:val="420" w:hRule="atLeast"/>
          <w:tblHeader w:val="1"/>
        </w:trPr>
        <w:tc>
          <w:tcPr>
            <w:gridSpan w:val="2"/>
            <w:shd w:fill="999999" w:val="clear"/>
            <w:tcMar>
              <w:top w:w="100.0" w:type="dxa"/>
              <w:left w:w="100.0" w:type="dxa"/>
              <w:bottom w:w="100.0" w:type="dxa"/>
              <w:right w:w="100.0" w:type="dxa"/>
            </w:tcMar>
            <w:vAlign w:val="top"/>
          </w:tcPr>
          <w:p w:rsidR="00000000" w:rsidDel="00000000" w:rsidP="00000000" w:rsidRDefault="00000000" w:rsidRPr="00000000" w14:paraId="00000003">
            <w:pPr>
              <w:jc w:val="center"/>
              <w:rPr>
                <w:b w:val="1"/>
                <w:bCs w:val="1"/>
              </w:rPr>
            </w:pPr>
            <w:r w:rsidDel="00000000" w:rsidR="00000000" w:rsidRPr="00000000">
              <w:rPr>
                <w:b w:val="1"/>
                <w:bCs w:val="1"/>
                <w:rtl w:val="0"/>
              </w:rPr>
              <w:t xml:space="preserve">Lesson Overview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5">
            <w:pPr>
              <w:jc w:val="left"/>
              <w:rPr/>
            </w:pPr>
            <w:r w:rsidDel="00000000" w:rsidR="00000000" w:rsidRPr="00000000">
              <w:rPr>
                <w:b w:val="1"/>
                <w:bCs w:val="1"/>
                <w:rtl w:val="0"/>
              </w:rPr>
              <w:t xml:space="preserve">Description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6">
            <w:pPr>
              <w:spacing w:after="120" w:line="240" w:lineRule="auto"/>
              <w:rPr/>
            </w:pPr>
            <w:r w:rsidDel="00000000" w:rsidR="00000000" w:rsidRPr="00000000">
              <w:rPr>
                <w:color w:val="2c3e50"/>
                <w:rtl w:val="0"/>
              </w:rPr>
              <w:t xml:space="preserve">This lesson uses 30 real variants from the BRCA Exchange - a publicly accessible database of classified BRCA1 and BRCA2 gene variants curated by an international consortium of researchers - to answer the three essential questions through genuine clinical data. Students classify variants by mutation type (silent, missense, nonsense, frameshift, splice site), connect each type to its effect on the protein, and analyse patterns between mutation type and clinical classification. The lesson culminates in a CER argument explaining why different DNA changes have different consequences for protein function and cancer risk.</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jc w:val="left"/>
              <w:rPr/>
            </w:pPr>
            <w:r w:rsidDel="00000000" w:rsidR="00000000" w:rsidRPr="00000000">
              <w:rPr>
                <w:b w:val="1"/>
                <w:bCs w:val="1"/>
                <w:rtl w:val="0"/>
              </w:rPr>
              <w:t xml:space="preserve">Subject Area(s)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rPr/>
            </w:pPr>
            <w:sdt>
              <w:sdtPr>
                <w:alias w:val="Subject"/>
                <w:id w:val="199057060"/>
                <w:dropDownList w:lastValue="Science">
                  <w:listItem w:displayText="Computer Science" w:value="Computer Science"/>
                  <w:listItem w:displayText="Economics" w:value="Economics"/>
                  <w:listItem w:displayText="Mathematics" w:value="Mathematics"/>
                  <w:listItem w:displayText="Science" w:value="Science"/>
                  <w:listItem w:displayText="Social Studies" w:value="Social Studies"/>
                </w:dropDownList>
              </w:sdtPr>
              <w:sdtContent>
                <w:r w:rsidDel="00000000" w:rsidR="00000000" w:rsidRPr="00000000">
                  <w:rPr>
                    <w:color w:val="d4edbc"/>
                    <w:shd w:fill="11734b" w:val="clear"/>
                  </w:rPr>
                  <w:t xml:space="preserve">Science</w:t>
                </w:r>
              </w:sdtContent>
            </w:sdt>
            <w:r w:rsidDel="00000000" w:rsidR="00000000" w:rsidRPr="00000000">
              <w:rPr>
                <w:rtl w:val="0"/>
              </w:rPr>
              <w:t xml:space="preserve"> </w:t>
            </w:r>
            <w:sdt>
              <w:sdtPr>
                <w:alias w:val="Subject"/>
                <w:id w:val="-1901472109"/>
                <w:dropDownList w:lastValue="Mathematics">
                  <w:listItem w:displayText="Computer Science" w:value="Computer Science"/>
                  <w:listItem w:displayText="Economics" w:value="Economics"/>
                  <w:listItem w:displayText="Mathematics" w:value="Mathematics"/>
                  <w:listItem w:displayText="Science" w:value="Science"/>
                  <w:listItem w:displayText="Social Studies" w:value="Social Studies"/>
                </w:dropDownList>
              </w:sdtPr>
              <w:sdtContent>
                <w:r w:rsidDel="00000000" w:rsidR="00000000" w:rsidRPr="00000000">
                  <w:rPr>
                    <w:color w:val="e5cff2"/>
                    <w:shd w:fill="5a3286" w:val="clear"/>
                  </w:rPr>
                  <w:t xml:space="preserve">Mathematics</w:t>
                </w:r>
              </w:sdtContent>
            </w:sdt>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A">
            <w:pPr>
              <w:jc w:val="left"/>
              <w:rPr/>
            </w:pPr>
            <w:r w:rsidDel="00000000" w:rsidR="00000000" w:rsidRPr="00000000">
              <w:rPr>
                <w:b w:val="1"/>
                <w:bCs w:val="1"/>
                <w:rtl w:val="0"/>
              </w:rPr>
              <w:t xml:space="preserve">Grade Band(s)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B">
            <w:pPr>
              <w:jc w:val="left"/>
              <w:rPr/>
            </w:pPr>
            <w:sdt>
              <w:sdtPr>
                <w:alias w:val="Grade Band"/>
                <w:id w:val="-797146394"/>
                <w:dropDownList w:lastValue="9-10">
                  <w:listItem w:displayText="K-2" w:value="K-2"/>
                  <w:listItem w:displayText="3-5" w:value="3-5"/>
                  <w:listItem w:displayText="6-8" w:value="6-8"/>
                  <w:listItem w:displayText="9-10" w:value="9-10"/>
                  <w:listItem w:displayText="11-12" w:value="11-12"/>
                </w:dropDownList>
              </w:sdtPr>
              <w:sdtContent>
                <w:r w:rsidDel="00000000" w:rsidR="00000000" w:rsidRPr="00000000">
                  <w:rPr>
                    <w:color w:val="11734b"/>
                    <w:shd w:fill="d4edbc" w:val="clear"/>
                  </w:rPr>
                  <w:t xml:space="preserve">9-10</w:t>
                </w:r>
              </w:sdtContent>
            </w:sdt>
            <w:sdt>
              <w:sdtPr>
                <w:alias w:val="Grade Band"/>
                <w:id w:val="-2092908660"/>
                <w:dropDownList w:lastValue="11-12">
                  <w:listItem w:displayText="K-2" w:value="K-2"/>
                  <w:listItem w:displayText="3-5" w:value="3-5"/>
                  <w:listItem w:displayText="6-8" w:value="6-8"/>
                  <w:listItem w:displayText="9-10" w:value="9-10"/>
                  <w:listItem w:displayText="11-12" w:value="11-12"/>
                </w:dropDownList>
              </w:sdtPr>
              <w:sdtContent>
                <w:r w:rsidDel="00000000" w:rsidR="00000000" w:rsidRPr="00000000">
                  <w:rPr>
                    <w:color w:val="0a53a8"/>
                    <w:shd w:fill="bfe1f6" w:val="clear"/>
                  </w:rPr>
                  <w:t xml:space="preserve">11-12</w:t>
                </w:r>
              </w:sdtContent>
            </w:sdt>
            <w:r w:rsidDel="00000000" w:rsidR="00000000" w:rsidRPr="00000000">
              <w:rPr>
                <w:rtl w:val="0"/>
              </w:rPr>
            </w:r>
          </w:p>
        </w:tc>
      </w:tr>
    </w:tbl>
    <w:p w:rsidR="00000000" w:rsidDel="00000000" w:rsidP="00000000" w:rsidRDefault="00000000" w:rsidRPr="00000000" w14:paraId="0000000C">
      <w:pPr>
        <w:spacing w:line="240" w:lineRule="auto"/>
        <w:rPr>
          <w:rFonts w:ascii="Times New Roman" w:cs="Times New Roman" w:eastAsia="Times New Roman" w:hAnsi="Times New Roman"/>
          <w:sz w:val="24"/>
          <w:szCs w:val="24"/>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65"/>
        <w:gridCol w:w="7695"/>
        <w:tblGridChange w:id="0">
          <w:tblGrid>
            <w:gridCol w:w="1665"/>
            <w:gridCol w:w="7695"/>
          </w:tblGrid>
        </w:tblGridChange>
      </w:tblGrid>
      <w:tr>
        <w:trPr>
          <w:cantSplit w:val="0"/>
          <w:trHeight w:val="460.1051175130824" w:hRule="atLeast"/>
          <w:tblHeader w:val="0"/>
        </w:trPr>
        <w:tc>
          <w:tcPr>
            <w:gridSpan w:val="2"/>
            <w:shd w:fill="b7b7b7" w:val="clear"/>
            <w:tcMar>
              <w:top w:w="100.0" w:type="dxa"/>
              <w:left w:w="100.0" w:type="dxa"/>
              <w:bottom w:w="100.0" w:type="dxa"/>
              <w:right w:w="100.0" w:type="dxa"/>
            </w:tcMar>
            <w:vAlign w:val="top"/>
          </w:tcPr>
          <w:p w:rsidR="00000000" w:rsidDel="00000000" w:rsidP="00000000" w:rsidRDefault="00000000" w:rsidRPr="00000000" w14:paraId="0000000D">
            <w:pPr>
              <w:spacing w:line="240" w:lineRule="auto"/>
              <w:jc w:val="center"/>
              <w:rPr>
                <w:b w:val="1"/>
                <w:bCs w:val="1"/>
              </w:rPr>
            </w:pPr>
            <w:r w:rsidDel="00000000" w:rsidR="00000000" w:rsidRPr="00000000">
              <w:rPr>
                <w:b w:val="1"/>
                <w:bCs w:val="1"/>
                <w:rtl w:val="0"/>
              </w:rPr>
              <w:t xml:space="preserve">Learning Progression Alignment</w:t>
            </w:r>
          </w:p>
        </w:tc>
      </w:tr>
      <w:tr>
        <w:trPr>
          <w:cantSplit w:val="0"/>
          <w:trHeight w:val="492.900308575965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spacing w:line="240" w:lineRule="auto"/>
              <w:rPr>
                <w:b w:val="1"/>
                <w:bCs w:val="1"/>
              </w:rPr>
            </w:pPr>
            <w:r w:rsidDel="00000000" w:rsidR="00000000" w:rsidRPr="00000000">
              <w:rPr>
                <w:b w:val="1"/>
                <w:bCs w:val="1"/>
                <w:rtl w:val="0"/>
              </w:rPr>
              <w:t xml:space="preserve">Strand</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spacing w:line="240" w:lineRule="auto"/>
              <w:rPr/>
            </w:pPr>
            <w:sdt>
              <w:sdtPr>
                <w:alias w:val="Strand"/>
                <w:id w:val="52467321"/>
                <w:dropDownList w:lastValue="C - Analysis and Modeling Techniques">
                  <w:listItem w:displayText="A - Data Literacy and Responsibility" w:value="A - Data Literacy and Responsibility"/>
                  <w:listItem w:displayText="B - Creation and Curation" w:value="B - Creation and Curation"/>
                  <w:listItem w:displayText="C - Analysis and Modeling Techniques" w:value="C - Analysis and Modeling Techniques"/>
                  <w:listItem w:displayText="D - Interpreting Problems and Results" w:value="D - Interpreting Problems and Results"/>
                  <w:listItem w:displayText="E - Visualizations and Communication" w:value="E - Visualizations and Communication"/>
                </w:dropDownList>
              </w:sdtPr>
              <w:sdtContent>
                <w:r w:rsidDel="00000000" w:rsidR="00000000" w:rsidRPr="00000000">
                  <w:rPr>
                    <w:color w:val="ffc8aa"/>
                    <w:shd w:fill="753800" w:val="clear"/>
                  </w:rPr>
                  <w:t xml:space="preserve">C - Analysis and Modeling Techniques</w:t>
                </w:r>
              </w:sdtContent>
            </w:sdt>
            <w:r w:rsidDel="00000000" w:rsidR="00000000" w:rsidRPr="00000000">
              <w:rPr>
                <w:rtl w:val="0"/>
              </w:rPr>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spacing w:line="240" w:lineRule="auto"/>
              <w:rPr>
                <w:b w:val="1"/>
                <w:bCs w:val="1"/>
              </w:rPr>
            </w:pPr>
            <w:r w:rsidDel="00000000" w:rsidR="00000000" w:rsidRPr="00000000">
              <w:rPr>
                <w:b w:val="1"/>
                <w:bCs w:val="1"/>
                <w:rtl w:val="0"/>
              </w:rPr>
              <w:t xml:space="preserve">Substrand</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spacing w:line="240" w:lineRule="auto"/>
              <w:rPr/>
            </w:pPr>
            <w:sdt>
              <w:sdtPr>
                <w:alias w:val="Substrand"/>
                <w:id w:val="-1176270525"/>
                <w:dropDownList w:lastValue="C3 - Variability in Data">
                  <w:listItem w:displayText="A1 - Nature of Data" w:value="A1 - Nature of Data"/>
                  <w:listItem w:displayText="A2 - Data Ethics and Responsibilities" w:value="A2 - Data Ethics and Responsibilities"/>
                  <w:listItem w:displayText="A3 - Investigative Dispositions" w:value="A3 - Investigative Dispositions"/>
                  <w:listItem w:displayText="B1 - Organization and Processing" w:value="B1 - Organization and Processing"/>
                  <w:listItem w:displayText="B2 - Designing for Data Collection" w:value="B2 - Designing for Data Collection"/>
                  <w:listItem w:displayText="B3 - Measurement and Datafication" w:value="B3 - Measurement and Datafication"/>
                  <w:listItem w:displayText="B4 - Complexity of Data" w:value="B4 - Complexity of Data"/>
                  <w:listItem w:displayText="C1 - Summarizing Data" w:value="C1 - Summarizing Data"/>
                  <w:listItem w:displayText="C2 - Identifying Patterns and Relationships in Data" w:value="C2 - Identifying Patterns and Relationships in Data"/>
                  <w:listItem w:displayText="C3 - Variability in Data" w:value="C3 - Variability in Data"/>
                  <w:listItem w:displayText="C4 - Digital Tools of Data Analysis" w:value="C4 - Digital Tools of Data Analysis"/>
                  <w:listItem w:displayText="C5 - Models of Data" w:value="C5 - Models of Data"/>
                  <w:listItem w:displayText="D1 - Making and Justifying Claims" w:value="D1 - Making and Justifying Claims"/>
                  <w:listItem w:displayText="D2 - Problem Identification and Question Formation" w:value="D2 - Problem Identification and Question Formation"/>
                  <w:listItem w:displayText="D3 - Generalization" w:value="D3 - Generalization"/>
                  <w:listItem w:displayText="E1 - Representations and Dynamic Visualizations" w:value="E1 - Representations and Dynamic Visualizations"/>
                  <w:listItem w:displayText="E2 - Data Storytelling" w:value="E2 - Data Storytelling"/>
                  <w:listItem w:displayText="E3 - Acting on Data to Benefit Society" w:value="E3 - Acting on Data to Benefit Society"/>
                </w:dropDownList>
              </w:sdtPr>
              <w:sdtContent>
                <w:r w:rsidDel="00000000" w:rsidR="00000000" w:rsidRPr="00000000">
                  <w:rPr>
                    <w:color w:val="ffc8aa"/>
                    <w:shd w:fill="753800" w:val="clear"/>
                  </w:rPr>
                  <w:t xml:space="preserve">C3 - Variability in Data</w:t>
                </w:r>
              </w:sdtContent>
            </w:sdt>
            <w:r w:rsidDel="00000000" w:rsidR="00000000" w:rsidRPr="00000000">
              <w:rPr>
                <w:rtl w:val="0"/>
              </w:rPr>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spacing w:line="240" w:lineRule="auto"/>
              <w:rPr>
                <w:b w:val="1"/>
                <w:bCs w:val="1"/>
              </w:rPr>
            </w:pPr>
            <w:r w:rsidDel="00000000" w:rsidR="00000000" w:rsidRPr="00000000">
              <w:rPr>
                <w:b w:val="1"/>
                <w:bCs w:val="1"/>
                <w:rtl w:val="0"/>
              </w:rPr>
              <w:t xml:space="preserve">Concept</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spacing w:after="240" w:before="240" w:line="240" w:lineRule="auto"/>
              <w:rPr>
                <w:i w:val="1"/>
                <w:iCs w:val="1"/>
              </w:rPr>
            </w:pPr>
            <w:r w:rsidDel="00000000" w:rsidR="00000000" w:rsidRPr="00000000">
              <w:rPr>
                <w:b w:val="1"/>
                <w:bCs w:val="1"/>
                <w:rtl w:val="0"/>
              </w:rPr>
              <w:t xml:space="preserve">Concept C.3.3</w:t>
            </w:r>
            <w:r w:rsidDel="00000000" w:rsidR="00000000" w:rsidRPr="00000000">
              <w:rPr>
                <w:rtl w:val="0"/>
              </w:rPr>
              <w:t xml:space="preserve"> — Understanding sources of variability — </w:t>
            </w:r>
            <w:r w:rsidDel="00000000" w:rsidR="00000000" w:rsidRPr="00000000">
              <w:rPr>
                <w:i w:val="1"/>
                <w:iCs w:val="1"/>
                <w:rtl w:val="0"/>
              </w:rPr>
              <w:t xml:space="preserve">Recognize measurement errors and natural variability in data. Assess data quality, identify outliers, and refine models using statistical and contextual analysis.</w:t>
            </w:r>
          </w:p>
          <w:p w:rsidR="00000000" w:rsidDel="00000000" w:rsidP="00000000" w:rsidRDefault="00000000" w:rsidRPr="00000000" w14:paraId="00000015">
            <w:pPr>
              <w:numPr>
                <w:ilvl w:val="0"/>
                <w:numId w:val="11"/>
              </w:numPr>
              <w:spacing w:after="0" w:afterAutospacing="0" w:before="240" w:line="240" w:lineRule="auto"/>
              <w:ind w:left="720" w:hanging="360"/>
            </w:pPr>
            <w:r w:rsidDel="00000000" w:rsidR="00000000" w:rsidRPr="00000000">
              <w:rPr>
                <w:rtl w:val="0"/>
              </w:rPr>
              <w:t xml:space="preserve">9-10.C.3.3a: Consider variability as a key component of informal inference by questioning whether observed differences are meaningful or not.</w:t>
            </w:r>
          </w:p>
          <w:p w:rsidR="00000000" w:rsidDel="00000000" w:rsidP="00000000" w:rsidRDefault="00000000" w:rsidRPr="00000000" w14:paraId="00000016">
            <w:pPr>
              <w:numPr>
                <w:ilvl w:val="0"/>
                <w:numId w:val="11"/>
              </w:numPr>
              <w:spacing w:after="0" w:afterAutospacing="0" w:before="0" w:beforeAutospacing="0" w:line="240" w:lineRule="auto"/>
              <w:ind w:left="720" w:hanging="360"/>
            </w:pPr>
            <w:r w:rsidDel="00000000" w:rsidR="00000000" w:rsidRPr="00000000">
              <w:rPr>
                <w:rtl w:val="0"/>
              </w:rPr>
              <w:t xml:space="preserve">9-10.C.3.3b: Identify categorical options for measuring "best" fit from data points to provided estimates.</w:t>
            </w:r>
          </w:p>
          <w:p w:rsidR="00000000" w:rsidDel="00000000" w:rsidP="00000000" w:rsidRDefault="00000000" w:rsidRPr="00000000" w14:paraId="00000017">
            <w:pPr>
              <w:numPr>
                <w:ilvl w:val="0"/>
                <w:numId w:val="11"/>
              </w:numPr>
              <w:spacing w:after="0" w:afterAutospacing="0" w:before="0" w:beforeAutospacing="0" w:line="240" w:lineRule="auto"/>
              <w:ind w:left="720" w:hanging="360"/>
            </w:pPr>
            <w:r w:rsidDel="00000000" w:rsidR="00000000" w:rsidRPr="00000000">
              <w:rPr>
                <w:rtl w:val="0"/>
              </w:rPr>
              <w:t xml:space="preserve">9-10.C.3.3c: Consider both context and the characteristics/source of a dataset to determine how "messy" a dataset may be due to measurement error.</w:t>
            </w:r>
          </w:p>
          <w:p w:rsidR="00000000" w:rsidDel="00000000" w:rsidP="00000000" w:rsidRDefault="00000000" w:rsidRPr="00000000" w14:paraId="00000018">
            <w:pPr>
              <w:numPr>
                <w:ilvl w:val="0"/>
                <w:numId w:val="11"/>
              </w:numPr>
              <w:spacing w:after="0" w:afterAutospacing="0" w:before="0" w:beforeAutospacing="0" w:line="240" w:lineRule="auto"/>
              <w:ind w:left="720" w:hanging="360"/>
            </w:pPr>
            <w:r w:rsidDel="00000000" w:rsidR="00000000" w:rsidRPr="00000000">
              <w:rPr>
                <w:rtl w:val="0"/>
              </w:rPr>
              <w:t xml:space="preserve">9-10.C.3.3d: Use errors to improve the AI and/or machine learning model.</w:t>
            </w:r>
          </w:p>
          <w:p w:rsidR="00000000" w:rsidDel="00000000" w:rsidP="00000000" w:rsidRDefault="00000000" w:rsidRPr="00000000" w14:paraId="00000019">
            <w:pPr>
              <w:numPr>
                <w:ilvl w:val="0"/>
                <w:numId w:val="11"/>
              </w:numPr>
              <w:spacing w:after="0" w:afterAutospacing="0" w:before="0" w:beforeAutospacing="0" w:line="240" w:lineRule="auto"/>
              <w:ind w:left="720" w:hanging="360"/>
            </w:pPr>
            <w:r w:rsidDel="00000000" w:rsidR="00000000" w:rsidRPr="00000000">
              <w:rPr>
                <w:rtl w:val="0"/>
              </w:rPr>
              <w:t xml:space="preserve">11-12.C.3.3a: Estimate and describe errors between predictions and actual outcomes.</w:t>
            </w:r>
          </w:p>
          <w:p w:rsidR="00000000" w:rsidDel="00000000" w:rsidP="00000000" w:rsidRDefault="00000000" w:rsidRPr="00000000" w14:paraId="0000001A">
            <w:pPr>
              <w:numPr>
                <w:ilvl w:val="0"/>
                <w:numId w:val="11"/>
              </w:numPr>
              <w:spacing w:after="0" w:afterAutospacing="0" w:before="0" w:beforeAutospacing="0" w:line="240" w:lineRule="auto"/>
              <w:ind w:left="720" w:hanging="360"/>
            </w:pPr>
            <w:r w:rsidDel="00000000" w:rsidR="00000000" w:rsidRPr="00000000">
              <w:rPr>
                <w:rtl w:val="0"/>
              </w:rPr>
              <w:t xml:space="preserve">11-12.C.3.3b: Analyze error patterns to assess model performance.</w:t>
            </w:r>
          </w:p>
          <w:p w:rsidR="00000000" w:rsidDel="00000000" w:rsidP="00000000" w:rsidRDefault="00000000" w:rsidRPr="00000000" w14:paraId="0000001B">
            <w:pPr>
              <w:numPr>
                <w:ilvl w:val="0"/>
                <w:numId w:val="11"/>
              </w:numPr>
              <w:spacing w:after="240" w:before="0" w:beforeAutospacing="0" w:line="240" w:lineRule="auto"/>
              <w:ind w:left="720" w:hanging="360"/>
            </w:pPr>
            <w:r w:rsidDel="00000000" w:rsidR="00000000" w:rsidRPr="00000000">
              <w:rPr>
                <w:rtl w:val="0"/>
              </w:rPr>
              <w:t xml:space="preserve">11-12.C.3.3c: Use insights from error analysis to improve the model.</w:t>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spacing w:line="240" w:lineRule="auto"/>
              <w:rPr>
                <w:b w:val="1"/>
                <w:bCs w:val="1"/>
              </w:rPr>
            </w:pPr>
            <w:r w:rsidDel="00000000" w:rsidR="00000000" w:rsidRPr="00000000">
              <w:rPr>
                <w:b w:val="1"/>
                <w:bCs w:val="1"/>
                <w:rtl w:val="0"/>
              </w:rPr>
              <w:t xml:space="preserve">Academic Standards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numPr>
                <w:ilvl w:val="0"/>
                <w:numId w:val="9"/>
              </w:numPr>
              <w:spacing w:after="200" w:before="0" w:line="240" w:lineRule="auto"/>
              <w:ind w:left="720" w:hanging="360"/>
              <w:rPr>
                <w:color w:val="2c3e50"/>
              </w:rPr>
            </w:pPr>
            <w:r w:rsidDel="00000000" w:rsidR="00000000" w:rsidRPr="00000000">
              <w:rPr>
                <w:color w:val="2c3e50"/>
                <w:rtl w:val="0"/>
              </w:rPr>
              <w:t xml:space="preserve">NGSS HS-LS1-1 (structure and function)</w:t>
            </w:r>
          </w:p>
          <w:p w:rsidR="00000000" w:rsidDel="00000000" w:rsidP="00000000" w:rsidRDefault="00000000" w:rsidRPr="00000000" w14:paraId="0000001E">
            <w:pPr>
              <w:numPr>
                <w:ilvl w:val="0"/>
                <w:numId w:val="9"/>
              </w:numPr>
              <w:spacing w:after="200" w:before="0" w:line="240" w:lineRule="auto"/>
              <w:ind w:left="720" w:hanging="360"/>
              <w:rPr>
                <w:color w:val="2c3e50"/>
              </w:rPr>
            </w:pPr>
            <w:r w:rsidDel="00000000" w:rsidR="00000000" w:rsidRPr="00000000">
              <w:rPr>
                <w:color w:val="2c3e50"/>
                <w:rtl w:val="0"/>
              </w:rPr>
              <w:t xml:space="preserve">HS-LS3-1 (inheritance and variation)</w:t>
            </w:r>
          </w:p>
          <w:p w:rsidR="00000000" w:rsidDel="00000000" w:rsidP="00000000" w:rsidRDefault="00000000" w:rsidRPr="00000000" w14:paraId="0000001F">
            <w:pPr>
              <w:numPr>
                <w:ilvl w:val="0"/>
                <w:numId w:val="9"/>
              </w:numPr>
              <w:spacing w:after="200" w:before="0" w:line="240" w:lineRule="auto"/>
              <w:ind w:left="720" w:hanging="360"/>
              <w:rPr>
                <w:color w:val="2c3e50"/>
              </w:rPr>
            </w:pPr>
            <w:r w:rsidDel="00000000" w:rsidR="00000000" w:rsidRPr="00000000">
              <w:rPr>
                <w:color w:val="2c3e50"/>
                <w:rtl w:val="0"/>
              </w:rPr>
              <w:t xml:space="preserve">HS-LS3-2 (mutations)</w:t>
            </w:r>
          </w:p>
          <w:p w:rsidR="00000000" w:rsidDel="00000000" w:rsidP="00000000" w:rsidRDefault="00000000" w:rsidRPr="00000000" w14:paraId="00000020">
            <w:pPr>
              <w:numPr>
                <w:ilvl w:val="0"/>
                <w:numId w:val="9"/>
              </w:numPr>
              <w:spacing w:after="200" w:line="240" w:lineRule="auto"/>
              <w:ind w:left="720" w:hanging="360"/>
              <w:rPr>
                <w:color w:val="2c3e50"/>
              </w:rPr>
            </w:pPr>
            <w:r w:rsidDel="00000000" w:rsidR="00000000" w:rsidRPr="00000000">
              <w:rPr>
                <w:color w:val="2c3e50"/>
                <w:rtl w:val="0"/>
              </w:rPr>
              <w:t xml:space="preserve">AP Biology 3.A.1, 3.C.1, 3.C.2</w:t>
            </w:r>
            <w:r w:rsidDel="00000000" w:rsidR="00000000" w:rsidRPr="00000000">
              <w:rPr>
                <w:rtl w:val="0"/>
              </w:rPr>
            </w:r>
          </w:p>
        </w:tc>
      </w:tr>
    </w:tbl>
    <w:p w:rsidR="00000000" w:rsidDel="00000000" w:rsidP="00000000" w:rsidRDefault="00000000" w:rsidRPr="00000000" w14:paraId="00000021">
      <w:pPr>
        <w:spacing w:line="240" w:lineRule="auto"/>
        <w:rPr>
          <w:rFonts w:ascii="Times New Roman" w:cs="Times New Roman" w:eastAsia="Times New Roman" w:hAnsi="Times New Roman"/>
          <w:sz w:val="24"/>
          <w:szCs w:val="24"/>
        </w:rPr>
      </w:pP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65"/>
        <w:gridCol w:w="7695"/>
        <w:tblGridChange w:id="0">
          <w:tblGrid>
            <w:gridCol w:w="1665"/>
            <w:gridCol w:w="7695"/>
          </w:tblGrid>
        </w:tblGridChange>
      </w:tblGrid>
      <w:tr>
        <w:trPr>
          <w:cantSplit w:val="0"/>
          <w:trHeight w:val="460.1051175130824" w:hRule="atLeast"/>
          <w:tblHeader w:val="0"/>
        </w:trPr>
        <w:tc>
          <w:tcPr>
            <w:gridSpan w:val="2"/>
            <w:shd w:fill="b7b7b7" w:val="clear"/>
            <w:tcMar>
              <w:top w:w="100.0" w:type="dxa"/>
              <w:left w:w="100.0" w:type="dxa"/>
              <w:bottom w:w="100.0" w:type="dxa"/>
              <w:right w:w="100.0" w:type="dxa"/>
            </w:tcMar>
            <w:vAlign w:val="top"/>
          </w:tcPr>
          <w:p w:rsidR="00000000" w:rsidDel="00000000" w:rsidP="00000000" w:rsidRDefault="00000000" w:rsidRPr="00000000" w14:paraId="00000022">
            <w:pPr>
              <w:spacing w:line="240" w:lineRule="auto"/>
              <w:jc w:val="center"/>
              <w:rPr>
                <w:b w:val="1"/>
                <w:bCs w:val="1"/>
              </w:rPr>
            </w:pPr>
            <w:r w:rsidDel="00000000" w:rsidR="00000000" w:rsidRPr="00000000">
              <w:rPr>
                <w:b w:val="1"/>
                <w:bCs w:val="1"/>
                <w:rtl w:val="0"/>
              </w:rPr>
              <w:t xml:space="preserve">Tool(s)</w:t>
            </w:r>
          </w:p>
        </w:tc>
      </w:tr>
      <w:tr>
        <w:trPr>
          <w:cantSplit w:val="0"/>
          <w:trHeight w:val="492.900308575965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spacing w:line="240" w:lineRule="auto"/>
              <w:rPr>
                <w:b w:val="1"/>
                <w:bCs w:val="1"/>
              </w:rPr>
            </w:pPr>
            <w:r w:rsidDel="00000000" w:rsidR="00000000" w:rsidRPr="00000000">
              <w:rPr>
                <w:b w:val="1"/>
                <w:bCs w:val="1"/>
                <w:rtl w:val="0"/>
              </w:rPr>
              <w:t xml:space="preserve">Type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spacing w:line="240" w:lineRule="auto"/>
              <w:rPr/>
            </w:pPr>
            <w:r w:rsidDel="00000000" w:rsidR="00000000" w:rsidRPr="00000000">
              <w:rPr>
                <w:rtl w:val="0"/>
              </w:rPr>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spacing w:line="240" w:lineRule="auto"/>
              <w:rPr>
                <w:b w:val="1"/>
                <w:bCs w:val="1"/>
              </w:rPr>
            </w:pPr>
            <w:r w:rsidDel="00000000" w:rsidR="00000000" w:rsidRPr="00000000">
              <w:rPr>
                <w:b w:val="1"/>
                <w:bCs w:val="1"/>
                <w:rtl w:val="0"/>
              </w:rPr>
              <w:t xml:space="preserve">Tool</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spacing w:line="240" w:lineRule="auto"/>
              <w:rPr/>
            </w:pPr>
            <w:sdt>
              <w:sdtPr>
                <w:alias w:val="Tool"/>
                <w:id w:val="-2144209921"/>
                <w:dropDownList w:lastValue="CODAP">
                  <w:listItem w:displayText="CODAP" w:value="CODAP"/>
                  <w:listItem w:displayText="Spreadsheet" w:value="Spreadsheet"/>
                  <w:listItem w:displayText="TUVA" w:value="TUVA"/>
                  <w:listItem w:displayText="Jupyter Notebook" w:value="Jupyter Notebook"/>
                  <w:listItem w:displayText="Other" w:value="Other"/>
                </w:dropDownList>
              </w:sdtPr>
              <w:sdtContent>
                <w:r w:rsidDel="00000000" w:rsidR="00000000" w:rsidRPr="00000000">
                  <w:rPr>
                    <w:color w:val="000000"/>
                    <w:shd w:fill="e8eaed" w:val="clear"/>
                  </w:rPr>
                  <w:t xml:space="preserve">CODAP</w:t>
                </w:r>
              </w:sdtContent>
            </w:sdt>
            <w:r w:rsidDel="00000000" w:rsidR="00000000" w:rsidRPr="00000000">
              <w:rPr>
                <w:rtl w:val="0"/>
              </w:rPr>
              <w:t xml:space="preserve"> </w:t>
            </w:r>
            <w:hyperlink r:id="rId6">
              <w:r w:rsidDel="00000000" w:rsidR="00000000" w:rsidRPr="00000000">
                <w:rPr>
                  <w:rFonts w:ascii="Roboto" w:cs="Roboto" w:eastAsia="Roboto" w:hAnsi="Roboto"/>
                  <w:color w:val="1155cc"/>
                  <w:sz w:val="16"/>
                  <w:szCs w:val="16"/>
                  <w:highlight w:val="white"/>
                  <w:u w:val="single"/>
                  <w:rtl w:val="0"/>
                </w:rPr>
                <w:t xml:space="preserve">https://codap.concord.org/beta#shared=https%3A%2F%2Fcfm-shared.concord.org%2Fwz1yVWa2ig8FClSwVMeM%2Ffile.json</w:t>
              </w:r>
            </w:hyperlink>
            <w:r w:rsidDel="00000000" w:rsidR="00000000" w:rsidRPr="00000000">
              <w:rPr>
                <w:rFonts w:ascii="Roboto" w:cs="Roboto" w:eastAsia="Roboto" w:hAnsi="Roboto"/>
                <w:color w:val="1a202c"/>
                <w:sz w:val="16"/>
                <w:szCs w:val="16"/>
                <w:highlight w:val="white"/>
                <w:rtl w:val="0"/>
              </w:rPr>
              <w:t xml:space="preserve"> </w:t>
            </w:r>
            <w:r w:rsidDel="00000000" w:rsidR="00000000" w:rsidRPr="00000000">
              <w:rPr>
                <w:rtl w:val="0"/>
              </w:rPr>
            </w:r>
          </w:p>
        </w:tc>
      </w:tr>
    </w:tbl>
    <w:p w:rsidR="00000000" w:rsidDel="00000000" w:rsidP="00000000" w:rsidRDefault="00000000" w:rsidRPr="00000000" w14:paraId="00000028">
      <w:pPr>
        <w:spacing w:line="240" w:lineRule="auto"/>
        <w:rPr/>
      </w:pPr>
      <w:r w:rsidDel="00000000" w:rsidR="00000000" w:rsidRPr="00000000">
        <w:rPr>
          <w:rtl w:val="0"/>
        </w:rPr>
      </w:r>
    </w:p>
    <w:p w:rsidR="00000000" w:rsidDel="00000000" w:rsidP="00000000" w:rsidRDefault="00000000" w:rsidRPr="00000000" w14:paraId="00000029">
      <w:pPr>
        <w:spacing w:line="240" w:lineRule="auto"/>
        <w:rPr>
          <w:rFonts w:ascii="Times New Roman" w:cs="Times New Roman" w:eastAsia="Times New Roman" w:hAnsi="Times New Roman"/>
          <w:sz w:val="24"/>
          <w:szCs w:val="24"/>
        </w:rPr>
      </w:pPr>
      <w:r w:rsidDel="00000000" w:rsidR="00000000" w:rsidRPr="00000000">
        <w:rPr>
          <w:rtl w:val="0"/>
        </w:rPr>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65"/>
        <w:gridCol w:w="7695"/>
        <w:tblGridChange w:id="0">
          <w:tblGrid>
            <w:gridCol w:w="1665"/>
            <w:gridCol w:w="7695"/>
          </w:tblGrid>
        </w:tblGridChange>
      </w:tblGrid>
      <w:tr>
        <w:trPr>
          <w:cantSplit w:val="0"/>
          <w:trHeight w:val="460.1051175130824" w:hRule="atLeast"/>
          <w:tblHeader w:val="0"/>
        </w:trPr>
        <w:tc>
          <w:tcPr>
            <w:gridSpan w:val="2"/>
            <w:shd w:fill="b7b7b7" w:val="clear"/>
            <w:tcMar>
              <w:top w:w="100.0" w:type="dxa"/>
              <w:left w:w="100.0" w:type="dxa"/>
              <w:bottom w:w="100.0" w:type="dxa"/>
              <w:right w:w="100.0" w:type="dxa"/>
            </w:tcMar>
            <w:vAlign w:val="top"/>
          </w:tcPr>
          <w:p w:rsidR="00000000" w:rsidDel="00000000" w:rsidP="00000000" w:rsidRDefault="00000000" w:rsidRPr="00000000" w14:paraId="0000002A">
            <w:pPr>
              <w:spacing w:line="240" w:lineRule="auto"/>
              <w:jc w:val="center"/>
              <w:rPr>
                <w:b w:val="1"/>
                <w:bCs w:val="1"/>
              </w:rPr>
            </w:pPr>
            <w:r w:rsidDel="00000000" w:rsidR="00000000" w:rsidRPr="00000000">
              <w:rPr>
                <w:b w:val="1"/>
                <w:bCs w:val="1"/>
                <w:rtl w:val="0"/>
              </w:rPr>
              <w:t xml:space="preserve">Lesson Materials</w:t>
            </w:r>
          </w:p>
        </w:tc>
      </w:tr>
      <w:tr>
        <w:trPr>
          <w:cantSplit w:val="0"/>
          <w:trHeight w:val="492.900308575965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C">
            <w:pPr>
              <w:spacing w:line="240" w:lineRule="auto"/>
              <w:rPr>
                <w:b w:val="1"/>
                <w:bCs w:val="1"/>
              </w:rPr>
            </w:pPr>
            <w:r w:rsidDel="00000000" w:rsidR="00000000" w:rsidRPr="00000000">
              <w:rPr>
                <w:b w:val="1"/>
                <w:bCs w:val="1"/>
                <w:rtl w:val="0"/>
              </w:rPr>
              <w:t xml:space="preserve">Dataset</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spacing w:line="240" w:lineRule="auto"/>
              <w:rPr>
                <w:sz w:val="21"/>
                <w:szCs w:val="21"/>
              </w:rPr>
            </w:pPr>
            <w:r w:rsidDel="00000000" w:rsidR="00000000" w:rsidRPr="00000000">
              <w:rPr>
                <w:sz w:val="21"/>
                <w:szCs w:val="21"/>
                <w:rtl w:val="0"/>
              </w:rPr>
              <w:t xml:space="preserve">BRCA Exchange — </w:t>
            </w:r>
            <w:hyperlink r:id="rId7">
              <w:r w:rsidDel="00000000" w:rsidR="00000000" w:rsidRPr="00000000">
                <w:rPr>
                  <w:color w:val="1155cc"/>
                  <w:sz w:val="21"/>
                  <w:szCs w:val="21"/>
                  <w:u w:val="single"/>
                  <w:rtl w:val="0"/>
                </w:rPr>
                <w:t xml:space="preserve">bracaexchange.org</w:t>
              </w:r>
            </w:hyperlink>
            <w:r w:rsidDel="00000000" w:rsidR="00000000" w:rsidRPr="00000000">
              <w:rPr>
                <w:sz w:val="21"/>
                <w:szCs w:val="21"/>
                <w:rtl w:val="0"/>
              </w:rPr>
              <w:t xml:space="preserve">  (clinical variant database)</w:t>
            </w:r>
          </w:p>
          <w:p w:rsidR="00000000" w:rsidDel="00000000" w:rsidP="00000000" w:rsidRDefault="00000000" w:rsidRPr="00000000" w14:paraId="0000002E">
            <w:pPr>
              <w:spacing w:line="240" w:lineRule="auto"/>
              <w:rPr>
                <w:sz w:val="21"/>
                <w:szCs w:val="21"/>
              </w:rPr>
            </w:pPr>
            <w:r w:rsidDel="00000000" w:rsidR="00000000" w:rsidRPr="00000000">
              <w:rPr>
                <w:sz w:val="21"/>
                <w:szCs w:val="21"/>
                <w:rtl w:val="0"/>
              </w:rPr>
              <w:t xml:space="preserve">Human Protein Atlas — </w:t>
            </w:r>
            <w:hyperlink r:id="rId8">
              <w:r w:rsidDel="00000000" w:rsidR="00000000" w:rsidRPr="00000000">
                <w:rPr>
                  <w:color w:val="1155cc"/>
                  <w:sz w:val="21"/>
                  <w:szCs w:val="21"/>
                  <w:u w:val="single"/>
                  <w:rtl w:val="0"/>
                </w:rPr>
                <w:t xml:space="preserve">proteinatlas.org</w:t>
              </w:r>
            </w:hyperlink>
            <w:r w:rsidDel="00000000" w:rsidR="00000000" w:rsidRPr="00000000">
              <w:rPr>
                <w:sz w:val="21"/>
                <w:szCs w:val="21"/>
                <w:rtl w:val="0"/>
              </w:rPr>
              <w:t xml:space="preserve">  (protein expression database)</w:t>
            </w:r>
          </w:p>
          <w:p w:rsidR="00000000" w:rsidDel="00000000" w:rsidP="00000000" w:rsidRDefault="00000000" w:rsidRPr="00000000" w14:paraId="0000002F">
            <w:pPr>
              <w:spacing w:line="240" w:lineRule="auto"/>
              <w:rPr>
                <w:sz w:val="21"/>
                <w:szCs w:val="21"/>
              </w:rPr>
            </w:pPr>
            <w:r w:rsidDel="00000000" w:rsidR="00000000" w:rsidRPr="00000000">
              <w:rPr>
                <w:sz w:val="21"/>
                <w:szCs w:val="21"/>
                <w:rtl w:val="0"/>
              </w:rPr>
              <w:t xml:space="preserve">GeneCards — </w:t>
            </w:r>
            <w:hyperlink r:id="rId9">
              <w:r w:rsidDel="00000000" w:rsidR="00000000" w:rsidRPr="00000000">
                <w:rPr>
                  <w:color w:val="1155cc"/>
                  <w:sz w:val="21"/>
                  <w:szCs w:val="21"/>
                  <w:u w:val="single"/>
                  <w:rtl w:val="0"/>
                </w:rPr>
                <w:t xml:space="preserve">genecards.org</w:t>
              </w:r>
            </w:hyperlink>
            <w:r w:rsidDel="00000000" w:rsidR="00000000" w:rsidRPr="00000000">
              <w:rPr>
                <w:sz w:val="21"/>
                <w:szCs w:val="21"/>
                <w:rtl w:val="0"/>
              </w:rPr>
              <w:t xml:space="preserve">  (gene summary database)</w:t>
            </w:r>
          </w:p>
          <w:p w:rsidR="00000000" w:rsidDel="00000000" w:rsidP="00000000" w:rsidRDefault="00000000" w:rsidRPr="00000000" w14:paraId="00000030">
            <w:pPr>
              <w:spacing w:line="240" w:lineRule="auto"/>
              <w:rPr>
                <w:sz w:val="21"/>
                <w:szCs w:val="21"/>
              </w:rPr>
            </w:pPr>
            <w:r w:rsidDel="00000000" w:rsidR="00000000" w:rsidRPr="00000000">
              <w:rPr>
                <w:sz w:val="21"/>
                <w:szCs w:val="21"/>
                <w:rtl w:val="0"/>
              </w:rPr>
              <w:t xml:space="preserve">CODAP </w:t>
            </w:r>
            <w:hyperlink r:id="rId10">
              <w:r w:rsidDel="00000000" w:rsidR="00000000" w:rsidRPr="00000000">
                <w:rPr>
                  <w:color w:val="1155cc"/>
                  <w:sz w:val="21"/>
                  <w:szCs w:val="21"/>
                  <w:u w:val="single"/>
                  <w:rtl w:val="0"/>
                </w:rPr>
                <w:t xml:space="preserve">BRCA file </w:t>
              </w:r>
            </w:hyperlink>
            <w:r w:rsidDel="00000000" w:rsidR="00000000" w:rsidRPr="00000000">
              <w:rPr>
                <w:rtl w:val="0"/>
              </w:rPr>
            </w:r>
          </w:p>
          <w:p w:rsidR="00000000" w:rsidDel="00000000" w:rsidP="00000000" w:rsidRDefault="00000000" w:rsidRPr="00000000" w14:paraId="00000031">
            <w:pPr>
              <w:spacing w:line="240" w:lineRule="auto"/>
              <w:rPr>
                <w:sz w:val="21"/>
                <w:szCs w:val="21"/>
              </w:rPr>
            </w:pPr>
            <w:hyperlink r:id="rId11">
              <w:r w:rsidDel="00000000" w:rsidR="00000000" w:rsidRPr="00000000">
                <w:rPr>
                  <w:color w:val="1155cc"/>
                  <w:u w:val="single"/>
                  <w:rtl w:val="0"/>
                </w:rPr>
                <w:t xml:space="preserve">Brca_classroom_variants</w:t>
              </w:r>
            </w:hyperlink>
            <w:r w:rsidDel="00000000" w:rsidR="00000000" w:rsidRPr="00000000">
              <w:rPr>
                <w:rtl w:val="0"/>
              </w:rPr>
              <w:t xml:space="preserve"> (Dataset)</w:t>
            </w:r>
            <w:r w:rsidDel="00000000" w:rsidR="00000000" w:rsidRPr="00000000">
              <w:rPr>
                <w:rtl w:val="0"/>
              </w:rPr>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2">
            <w:pPr>
              <w:spacing w:line="240" w:lineRule="auto"/>
              <w:rPr>
                <w:b w:val="1"/>
                <w:bCs w:val="1"/>
              </w:rPr>
            </w:pPr>
            <w:r w:rsidDel="00000000" w:rsidR="00000000" w:rsidRPr="00000000">
              <w:rPr>
                <w:b w:val="1"/>
                <w:bCs w:val="1"/>
                <w:rtl w:val="0"/>
              </w:rPr>
              <w:t xml:space="preserve">Datasheet</w:t>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spacing w:line="240" w:lineRule="auto"/>
              <w:rPr/>
            </w:pPr>
            <w:r w:rsidDel="00000000" w:rsidR="00000000" w:rsidRPr="00000000">
              <w:rPr>
                <w:i w:val="1"/>
                <w:iCs w:val="1"/>
                <w:rtl w:val="0"/>
              </w:rPr>
              <w:t xml:space="preserve">CODAP File for lesson: </w:t>
            </w:r>
            <w:hyperlink r:id="rId12">
              <w:r w:rsidDel="00000000" w:rsidR="00000000" w:rsidRPr="00000000">
                <w:rPr>
                  <w:rFonts w:ascii="Roboto" w:cs="Roboto" w:eastAsia="Roboto" w:hAnsi="Roboto"/>
                  <w:color w:val="1155cc"/>
                  <w:sz w:val="16"/>
                  <w:szCs w:val="16"/>
                  <w:highlight w:val="white"/>
                  <w:u w:val="single"/>
                  <w:rtl w:val="0"/>
                </w:rPr>
                <w:t xml:space="preserve">https://codap.concord.org/beta#shared=https%3A%2F%2Fcfm-shared.concord.org%2Fwz1yVWa2ig8FClSwVMeM%2Ffile.json</w:t>
              </w:r>
            </w:hyperlink>
            <w:r w:rsidDel="00000000" w:rsidR="00000000" w:rsidRPr="00000000">
              <w:rPr>
                <w:rFonts w:ascii="Roboto" w:cs="Roboto" w:eastAsia="Roboto" w:hAnsi="Roboto"/>
                <w:color w:val="1a202c"/>
                <w:sz w:val="16"/>
                <w:szCs w:val="16"/>
                <w:highlight w:val="white"/>
                <w:rtl w:val="0"/>
              </w:rPr>
              <w:t xml:space="preserve"> </w:t>
            </w:r>
            <w:r w:rsidDel="00000000" w:rsidR="00000000" w:rsidRPr="00000000">
              <w:rPr>
                <w:rtl w:val="0"/>
              </w:rPr>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4">
            <w:pPr>
              <w:spacing w:line="240" w:lineRule="auto"/>
              <w:rPr>
                <w:b w:val="1"/>
                <w:bCs w:val="1"/>
              </w:rPr>
            </w:pPr>
            <w:r w:rsidDel="00000000" w:rsidR="00000000" w:rsidRPr="00000000">
              <w:rPr>
                <w:b w:val="1"/>
                <w:bCs w:val="1"/>
                <w:rtl w:val="0"/>
              </w:rPr>
              <w:t xml:space="preserve">Student Document(s) &amp; File(s)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spacing w:line="240" w:lineRule="auto"/>
              <w:rPr/>
            </w:pPr>
            <w:hyperlink r:id="rId13">
              <w:r w:rsidDel="00000000" w:rsidR="00000000" w:rsidRPr="00000000">
                <w:rPr>
                  <w:color w:val="0000ee"/>
                  <w:u w:val="single"/>
                  <w:rtl w:val="0"/>
                </w:rPr>
                <w:t xml:space="preserve">Student Materials HS Biology - Genetic Mutations</w:t>
              </w:r>
            </w:hyperlink>
            <w:r w:rsidDel="00000000" w:rsidR="00000000" w:rsidRPr="00000000">
              <w:rPr>
                <w:rtl w:val="0"/>
              </w:rPr>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6">
            <w:pPr>
              <w:spacing w:line="240" w:lineRule="auto"/>
              <w:rPr>
                <w:b w:val="1"/>
                <w:bCs w:val="1"/>
              </w:rPr>
            </w:pPr>
            <w:r w:rsidDel="00000000" w:rsidR="00000000" w:rsidRPr="00000000">
              <w:rPr>
                <w:b w:val="1"/>
                <w:bCs w:val="1"/>
                <w:rtl w:val="0"/>
              </w:rPr>
              <w:t xml:space="preserve">Teacher Document(s) &amp; File(s)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numPr>
                <w:ilvl w:val="0"/>
                <w:numId w:val="10"/>
              </w:numPr>
              <w:spacing w:after="200" w:before="0" w:line="240" w:lineRule="auto"/>
              <w:ind w:left="720" w:hanging="360"/>
              <w:rPr>
                <w:u w:val="none"/>
              </w:rPr>
            </w:pPr>
            <w:hyperlink r:id="rId14">
              <w:r w:rsidDel="00000000" w:rsidR="00000000" w:rsidRPr="00000000">
                <w:rPr>
                  <w:color w:val="0000ee"/>
                  <w:u w:val="single"/>
                  <w:rtl w:val="0"/>
                </w:rPr>
                <w:t xml:space="preserve">Teacher Key HS Biology - Genetic Mutation.docx</w:t>
              </w:r>
            </w:hyperlink>
            <w:r w:rsidDel="00000000" w:rsidR="00000000" w:rsidRPr="00000000">
              <w:rPr>
                <w:rtl w:val="0"/>
              </w:rPr>
            </w:r>
          </w:p>
          <w:p w:rsidR="00000000" w:rsidDel="00000000" w:rsidP="00000000" w:rsidRDefault="00000000" w:rsidRPr="00000000" w14:paraId="00000038">
            <w:pPr>
              <w:numPr>
                <w:ilvl w:val="0"/>
                <w:numId w:val="10"/>
              </w:numPr>
              <w:spacing w:line="240" w:lineRule="auto"/>
              <w:ind w:left="720" w:hanging="360"/>
            </w:pPr>
            <w:hyperlink r:id="rId15">
              <w:r w:rsidDel="00000000" w:rsidR="00000000" w:rsidRPr="00000000">
                <w:rPr>
                  <w:color w:val="1155cc"/>
                  <w:u w:val="single"/>
                  <w:rtl w:val="0"/>
                </w:rPr>
                <w:t xml:space="preserve">Brca_classroom_variants</w:t>
              </w:r>
            </w:hyperlink>
            <w:r w:rsidDel="00000000" w:rsidR="00000000" w:rsidRPr="00000000">
              <w:rPr>
                <w:rtl w:val="0"/>
              </w:rPr>
              <w:t xml:space="preserve"> (Dataset)</w:t>
            </w:r>
          </w:p>
          <w:p w:rsidR="00000000" w:rsidDel="00000000" w:rsidP="00000000" w:rsidRDefault="00000000" w:rsidRPr="00000000" w14:paraId="00000039">
            <w:pPr>
              <w:numPr>
                <w:ilvl w:val="0"/>
                <w:numId w:val="10"/>
              </w:numPr>
              <w:spacing w:line="240" w:lineRule="auto"/>
              <w:ind w:left="720" w:hanging="360"/>
              <w:rPr>
                <w:u w:val="none"/>
              </w:rPr>
            </w:pPr>
            <w:r w:rsidDel="00000000" w:rsidR="00000000" w:rsidRPr="00000000">
              <w:rPr>
                <w:rtl w:val="0"/>
              </w:rPr>
            </w:r>
          </w:p>
          <w:p w:rsidR="00000000" w:rsidDel="00000000" w:rsidP="00000000" w:rsidRDefault="00000000" w:rsidRPr="00000000" w14:paraId="0000003A">
            <w:pPr>
              <w:numPr>
                <w:ilvl w:val="0"/>
                <w:numId w:val="10"/>
              </w:numPr>
              <w:spacing w:after="200" w:line="240" w:lineRule="auto"/>
              <w:ind w:left="720" w:hanging="360"/>
              <w:rPr>
                <w:u w:val="none"/>
              </w:rPr>
            </w:pPr>
            <w:hyperlink r:id="rId16">
              <w:r w:rsidDel="00000000" w:rsidR="00000000" w:rsidRPr="00000000">
                <w:rPr>
                  <w:color w:val="1155cc"/>
                  <w:u w:val="single"/>
                  <w:rtl w:val="0"/>
                </w:rPr>
                <w:t xml:space="preserve">DNA-damage repair; the good, the bad, and the ugly - PMC</w:t>
              </w:r>
            </w:hyperlink>
            <w:r w:rsidDel="00000000" w:rsidR="00000000" w:rsidRPr="00000000">
              <w:rPr>
                <w:rtl w:val="0"/>
              </w:rPr>
            </w:r>
          </w:p>
          <w:p w:rsidR="00000000" w:rsidDel="00000000" w:rsidP="00000000" w:rsidRDefault="00000000" w:rsidRPr="00000000" w14:paraId="0000003B">
            <w:pPr>
              <w:numPr>
                <w:ilvl w:val="0"/>
                <w:numId w:val="10"/>
              </w:numPr>
              <w:spacing w:after="200" w:before="0" w:line="240" w:lineRule="auto"/>
              <w:ind w:left="720" w:hanging="360"/>
              <w:rPr>
                <w:u w:val="none"/>
              </w:rPr>
            </w:pPr>
            <w:hyperlink r:id="rId17">
              <w:r w:rsidDel="00000000" w:rsidR="00000000" w:rsidRPr="00000000">
                <w:rPr>
                  <w:color w:val="1155cc"/>
                  <w:u w:val="single"/>
                  <w:rtl w:val="0"/>
                </w:rPr>
                <w:t xml:space="preserve">DNA repair - Wikipedia</w:t>
              </w:r>
            </w:hyperlink>
            <w:r w:rsidDel="00000000" w:rsidR="00000000" w:rsidRPr="00000000">
              <w:rPr>
                <w:rtl w:val="0"/>
              </w:rPr>
            </w:r>
          </w:p>
          <w:p w:rsidR="00000000" w:rsidDel="00000000" w:rsidP="00000000" w:rsidRDefault="00000000" w:rsidRPr="00000000" w14:paraId="0000003C">
            <w:pPr>
              <w:numPr>
                <w:ilvl w:val="0"/>
                <w:numId w:val="10"/>
              </w:numPr>
              <w:spacing w:after="200" w:line="240" w:lineRule="auto"/>
              <w:ind w:left="720" w:hanging="360"/>
              <w:rPr>
                <w:u w:val="none"/>
              </w:rPr>
            </w:pPr>
            <w:hyperlink r:id="rId18">
              <w:r w:rsidDel="00000000" w:rsidR="00000000" w:rsidRPr="00000000">
                <w:rPr>
                  <w:color w:val="0000ee"/>
                  <w:u w:val="single"/>
                  <w:rtl w:val="0"/>
                </w:rPr>
                <w:t xml:space="preserve">Mechanisms of DNA Damage and Repair</w:t>
              </w:r>
            </w:hyperlink>
            <w:r w:rsidDel="00000000" w:rsidR="00000000" w:rsidRPr="00000000">
              <w:rPr>
                <w:rtl w:val="0"/>
              </w:rPr>
            </w:r>
          </w:p>
          <w:p w:rsidR="00000000" w:rsidDel="00000000" w:rsidP="00000000" w:rsidRDefault="00000000" w:rsidRPr="00000000" w14:paraId="0000003D">
            <w:pPr>
              <w:spacing w:line="240" w:lineRule="auto"/>
              <w:rPr/>
            </w:pPr>
            <w:r w:rsidDel="00000000" w:rsidR="00000000" w:rsidRPr="00000000">
              <w:rPr>
                <w:rtl w:val="0"/>
              </w:rPr>
            </w:r>
          </w:p>
        </w:tc>
      </w:tr>
    </w:tbl>
    <w:p w:rsidR="00000000" w:rsidDel="00000000" w:rsidP="00000000" w:rsidRDefault="00000000" w:rsidRPr="00000000" w14:paraId="0000003E">
      <w:pPr>
        <w:pStyle w:val="Heading1"/>
        <w:rPr/>
      </w:pPr>
      <w:bookmarkStart w:colFirst="0" w:colLast="0" w:name="_31j5f72wznfx" w:id="0"/>
      <w:bookmarkEnd w:id="0"/>
      <w:r w:rsidDel="00000000" w:rsidR="00000000" w:rsidRPr="00000000">
        <w:rPr>
          <w:rtl w:val="0"/>
        </w:rPr>
      </w:r>
    </w:p>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25"/>
        <w:gridCol w:w="7035"/>
        <w:tblGridChange w:id="0">
          <w:tblGrid>
            <w:gridCol w:w="2325"/>
            <w:gridCol w:w="7035"/>
          </w:tblGrid>
        </w:tblGridChange>
      </w:tblGrid>
      <w:tr>
        <w:trPr>
          <w:cantSplit w:val="0"/>
          <w:trHeight w:val="420" w:hRule="atLeast"/>
          <w:tblHeader w:val="1"/>
        </w:trPr>
        <w:tc>
          <w:tcPr>
            <w:gridSpan w:val="2"/>
            <w:shd w:fill="999999" w:val="clear"/>
            <w:tcMar>
              <w:top w:w="100.0" w:type="dxa"/>
              <w:left w:w="100.0" w:type="dxa"/>
              <w:bottom w:w="100.0" w:type="dxa"/>
              <w:right w:w="100.0" w:type="dxa"/>
            </w:tcMar>
            <w:vAlign w:val="top"/>
          </w:tcPr>
          <w:p w:rsidR="00000000" w:rsidDel="00000000" w:rsidP="00000000" w:rsidRDefault="00000000" w:rsidRPr="00000000" w14:paraId="0000003F">
            <w:pPr>
              <w:jc w:val="center"/>
              <w:rPr>
                <w:b w:val="1"/>
                <w:bCs w:val="1"/>
              </w:rPr>
            </w:pPr>
            <w:r w:rsidDel="00000000" w:rsidR="00000000" w:rsidRPr="00000000">
              <w:rPr>
                <w:b w:val="1"/>
                <w:bCs w:val="1"/>
                <w:rtl w:val="0"/>
              </w:rPr>
              <w:t xml:space="preserve">Lesson Plan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1">
            <w:pPr>
              <w:jc w:val="left"/>
              <w:rPr>
                <w:b w:val="1"/>
                <w:bCs w:val="1"/>
              </w:rPr>
            </w:pPr>
            <w:r w:rsidDel="00000000" w:rsidR="00000000" w:rsidRPr="00000000">
              <w:rPr>
                <w:b w:val="1"/>
                <w:bCs w:val="1"/>
                <w:rtl w:val="0"/>
              </w:rPr>
              <w:t xml:space="preserve">Lesson Focus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rPr/>
            </w:pPr>
            <w:r w:rsidDel="00000000" w:rsidR="00000000" w:rsidRPr="00000000">
              <w:rPr>
                <w:rtl w:val="0"/>
              </w:rPr>
              <w:t xml:space="preserve">By the end of this lesson, students will use real clinical variant data from the BRCA Exchange database to predict how specific BRCA1 mutations affect protein structure and function, explaining why some DNA changes are harmful while others are not, and constructing the full chain of reasoning from a single base change to uncontrolled cell division.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3">
            <w:pPr>
              <w:jc w:val="left"/>
              <w:rPr/>
            </w:pPr>
            <w:r w:rsidDel="00000000" w:rsidR="00000000" w:rsidRPr="00000000">
              <w:rPr>
                <w:b w:val="1"/>
                <w:bCs w:val="1"/>
                <w:rtl w:val="0"/>
              </w:rPr>
              <w:t xml:space="preserve">Content Objective(s)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shd w:fill="ffffff" w:val="clear"/>
              <w:rPr/>
            </w:pPr>
            <w:r w:rsidDel="00000000" w:rsidR="00000000" w:rsidRPr="00000000">
              <w:rPr>
                <w:rtl w:val="0"/>
              </w:rPr>
              <w:t xml:space="preserve">Students will be able to:</w:t>
            </w:r>
          </w:p>
          <w:p w:rsidR="00000000" w:rsidDel="00000000" w:rsidP="00000000" w:rsidRDefault="00000000" w:rsidRPr="00000000" w14:paraId="00000045">
            <w:pPr>
              <w:numPr>
                <w:ilvl w:val="0"/>
                <w:numId w:val="17"/>
              </w:numPr>
              <w:spacing w:after="200" w:line="240" w:lineRule="auto"/>
              <w:ind w:left="480" w:hanging="260"/>
              <w:rPr>
                <w:sz w:val="24"/>
                <w:szCs w:val="24"/>
              </w:rPr>
            </w:pPr>
            <w:r w:rsidDel="00000000" w:rsidR="00000000" w:rsidRPr="00000000">
              <w:rPr>
                <w:rtl w:val="0"/>
              </w:rPr>
              <w:t xml:space="preserve">classify BRCA variants by mutation type</w:t>
            </w:r>
          </w:p>
          <w:p w:rsidR="00000000" w:rsidDel="00000000" w:rsidP="00000000" w:rsidRDefault="00000000" w:rsidRPr="00000000" w14:paraId="00000046">
            <w:pPr>
              <w:numPr>
                <w:ilvl w:val="0"/>
                <w:numId w:val="17"/>
              </w:numPr>
              <w:spacing w:after="200" w:line="240" w:lineRule="auto"/>
              <w:ind w:left="480" w:hanging="260"/>
              <w:rPr>
                <w:sz w:val="24"/>
                <w:szCs w:val="24"/>
              </w:rPr>
            </w:pPr>
            <w:r w:rsidDel="00000000" w:rsidR="00000000" w:rsidRPr="00000000">
              <w:rPr>
                <w:rtl w:val="0"/>
              </w:rPr>
              <w:t xml:space="preserve">explain the molecular mechanism by which each type affects protein function</w:t>
            </w:r>
          </w:p>
          <w:p w:rsidR="00000000" w:rsidDel="00000000" w:rsidP="00000000" w:rsidRDefault="00000000" w:rsidRPr="00000000" w14:paraId="00000047">
            <w:pPr>
              <w:numPr>
                <w:ilvl w:val="0"/>
                <w:numId w:val="17"/>
              </w:numPr>
              <w:spacing w:after="200" w:line="240" w:lineRule="auto"/>
              <w:ind w:left="480" w:hanging="260"/>
              <w:rPr>
                <w:sz w:val="24"/>
                <w:szCs w:val="24"/>
              </w:rPr>
            </w:pPr>
            <w:r w:rsidDel="00000000" w:rsidR="00000000" w:rsidRPr="00000000">
              <w:rPr>
                <w:rtl w:val="0"/>
              </w:rPr>
              <w:t xml:space="preserve">analyse patterns between mutation type and clinical classification</w:t>
            </w:r>
          </w:p>
          <w:p w:rsidR="00000000" w:rsidDel="00000000" w:rsidP="00000000" w:rsidRDefault="00000000" w:rsidRPr="00000000" w14:paraId="00000048">
            <w:pPr>
              <w:numPr>
                <w:ilvl w:val="0"/>
                <w:numId w:val="17"/>
              </w:numPr>
              <w:spacing w:after="200" w:line="240" w:lineRule="auto"/>
              <w:ind w:left="480" w:hanging="260"/>
              <w:rPr>
                <w:sz w:val="24"/>
                <w:szCs w:val="24"/>
              </w:rPr>
            </w:pPr>
            <w:r w:rsidDel="00000000" w:rsidR="00000000" w:rsidRPr="00000000">
              <w:rPr>
                <w:rtl w:val="0"/>
              </w:rPr>
              <w:t xml:space="preserve">argue from data about how DNA changes cause disease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9">
            <w:pPr>
              <w:jc w:val="left"/>
              <w:rPr/>
            </w:pPr>
            <w:r w:rsidDel="00000000" w:rsidR="00000000" w:rsidRPr="00000000">
              <w:rPr>
                <w:b w:val="1"/>
                <w:bCs w:val="1"/>
                <w:rtl w:val="0"/>
              </w:rPr>
              <w:t xml:space="preserve">Prerequisite Knowledge &amp; Skills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shd w:fill="ffffff" w:val="clear"/>
              <w:spacing w:line="360" w:lineRule="auto"/>
              <w:rPr>
                <w:rFonts w:ascii="Roboto" w:cs="Roboto" w:eastAsia="Roboto" w:hAnsi="Roboto"/>
                <w:color w:val="0a0a0a"/>
                <w:sz w:val="24"/>
                <w:szCs w:val="24"/>
              </w:rPr>
            </w:pPr>
            <w:r w:rsidDel="00000000" w:rsidR="00000000" w:rsidRPr="00000000">
              <w:rPr>
                <w:rFonts w:ascii="Roboto" w:cs="Roboto" w:eastAsia="Roboto" w:hAnsi="Roboto"/>
                <w:color w:val="0a0a0a"/>
                <w:sz w:val="24"/>
                <w:szCs w:val="24"/>
                <w:rtl w:val="0"/>
              </w:rPr>
              <w:t xml:space="preserve">Here are the definitions of the four DNA bases:</w:t>
            </w:r>
          </w:p>
          <w:p w:rsidR="00000000" w:rsidDel="00000000" w:rsidP="00000000" w:rsidRDefault="00000000" w:rsidRPr="00000000" w14:paraId="0000004B">
            <w:pPr>
              <w:numPr>
                <w:ilvl w:val="0"/>
                <w:numId w:val="4"/>
              </w:numPr>
              <w:pBdr>
                <w:top w:color="auto" w:space="0" w:sz="0" w:val="none"/>
                <w:bottom w:color="auto" w:space="0" w:sz="0" w:val="none"/>
                <w:right w:color="auto" w:space="0" w:sz="0" w:val="none"/>
                <w:between w:color="auto" w:space="0" w:sz="0" w:val="none"/>
              </w:pBdr>
              <w:shd w:fill="ffffff" w:val="clear"/>
              <w:spacing w:after="0" w:afterAutospacing="0" w:before="180" w:line="360" w:lineRule="auto"/>
              <w:ind w:left="720" w:hanging="360"/>
            </w:pPr>
            <w:r w:rsidDel="00000000" w:rsidR="00000000" w:rsidRPr="00000000">
              <w:rPr>
                <w:rFonts w:ascii="Roboto" w:cs="Roboto" w:eastAsia="Roboto" w:hAnsi="Roboto"/>
                <w:color w:val="0a0a0a"/>
                <w:sz w:val="24"/>
                <w:szCs w:val="24"/>
                <w:rtl w:val="0"/>
              </w:rPr>
              <w:t xml:space="preserve">Adenine (A): A purine base that pairs specifically with thymine (T) in DNA, providing one of the two hydrogen bonds that hold the DNA double helix together.</w:t>
            </w:r>
          </w:p>
          <w:p w:rsidR="00000000" w:rsidDel="00000000" w:rsidP="00000000" w:rsidRDefault="00000000" w:rsidRPr="00000000" w14:paraId="0000004C">
            <w:pPr>
              <w:numPr>
                <w:ilvl w:val="0"/>
                <w:numId w:val="4"/>
              </w:numPr>
              <w:pBdr>
                <w:top w:color="auto" w:space="0" w:sz="0" w:val="none"/>
                <w:bottom w:color="auto" w:space="0" w:sz="0" w:val="none"/>
                <w:right w:color="auto" w:space="0" w:sz="0" w:val="none"/>
                <w:between w:color="auto" w:space="0" w:sz="0" w:val="none"/>
              </w:pBdr>
              <w:shd w:fill="ffffff" w:val="clear"/>
              <w:spacing w:after="0" w:afterAutospacing="0" w:before="0" w:beforeAutospacing="0" w:line="360" w:lineRule="auto"/>
              <w:ind w:left="720" w:hanging="360"/>
            </w:pPr>
            <w:r w:rsidDel="00000000" w:rsidR="00000000" w:rsidRPr="00000000">
              <w:rPr>
                <w:rFonts w:ascii="Roboto" w:cs="Roboto" w:eastAsia="Roboto" w:hAnsi="Roboto"/>
                <w:color w:val="0a0a0a"/>
                <w:sz w:val="24"/>
                <w:szCs w:val="24"/>
                <w:rtl w:val="0"/>
              </w:rPr>
              <w:t xml:space="preserve">Thymine (T): A pyrimidine base that pairs only with adenine (A) in DNA, forming two hydrogen bonds. It is replaced by uracil in RNA.</w:t>
            </w:r>
          </w:p>
          <w:p w:rsidR="00000000" w:rsidDel="00000000" w:rsidP="00000000" w:rsidRDefault="00000000" w:rsidRPr="00000000" w14:paraId="0000004D">
            <w:pPr>
              <w:numPr>
                <w:ilvl w:val="0"/>
                <w:numId w:val="4"/>
              </w:numPr>
              <w:pBdr>
                <w:top w:color="auto" w:space="0" w:sz="0" w:val="none"/>
                <w:bottom w:color="auto" w:space="0" w:sz="0" w:val="none"/>
                <w:right w:color="auto" w:space="0" w:sz="0" w:val="none"/>
                <w:between w:color="auto" w:space="0" w:sz="0" w:val="none"/>
              </w:pBdr>
              <w:shd w:fill="ffffff" w:val="clear"/>
              <w:spacing w:after="0" w:afterAutospacing="0" w:before="0" w:beforeAutospacing="0" w:line="360" w:lineRule="auto"/>
              <w:ind w:left="720" w:hanging="360"/>
            </w:pPr>
            <w:r w:rsidDel="00000000" w:rsidR="00000000" w:rsidRPr="00000000">
              <w:rPr>
                <w:rFonts w:ascii="Roboto" w:cs="Roboto" w:eastAsia="Roboto" w:hAnsi="Roboto"/>
                <w:color w:val="0a0a0a"/>
                <w:sz w:val="24"/>
                <w:szCs w:val="24"/>
                <w:rtl w:val="0"/>
              </w:rPr>
              <w:t xml:space="preserve">Guanine (G): A purine base that pairs specifically with cytosine (C) in DNA, forming three hydrogen bonds, which creates a stronger bond than A-T pairs.</w:t>
            </w:r>
          </w:p>
          <w:p w:rsidR="00000000" w:rsidDel="00000000" w:rsidP="00000000" w:rsidRDefault="00000000" w:rsidRPr="00000000" w14:paraId="0000004E">
            <w:pPr>
              <w:numPr>
                <w:ilvl w:val="0"/>
                <w:numId w:val="4"/>
              </w:numPr>
              <w:pBdr>
                <w:top w:color="auto" w:space="0" w:sz="0" w:val="none"/>
                <w:bottom w:color="auto" w:space="0" w:sz="0" w:val="none"/>
                <w:right w:color="auto" w:space="0" w:sz="0" w:val="none"/>
                <w:between w:color="auto" w:space="0" w:sz="0" w:val="none"/>
              </w:pBdr>
              <w:shd w:fill="ffffff" w:val="clear"/>
              <w:spacing w:after="0" w:afterAutospacing="0" w:before="0" w:beforeAutospacing="0" w:line="360" w:lineRule="auto"/>
              <w:ind w:left="720" w:hanging="360"/>
            </w:pPr>
            <w:r w:rsidDel="00000000" w:rsidR="00000000" w:rsidRPr="00000000">
              <w:rPr>
                <w:rFonts w:ascii="Roboto" w:cs="Roboto" w:eastAsia="Roboto" w:hAnsi="Roboto"/>
                <w:color w:val="0a0a0a"/>
                <w:sz w:val="24"/>
                <w:szCs w:val="24"/>
                <w:rtl w:val="0"/>
              </w:rPr>
              <w:t xml:space="preserve">Cytosine (C): A pyrimidine base that pairs only with guanine (G) in DNA</w:t>
            </w:r>
            <w:r w:rsidDel="00000000" w:rsidR="00000000" w:rsidRPr="00000000">
              <w:rPr>
                <w:rtl w:val="0"/>
              </w:rPr>
            </w:r>
          </w:p>
          <w:p w:rsidR="00000000" w:rsidDel="00000000" w:rsidP="00000000" w:rsidRDefault="00000000" w:rsidRPr="00000000" w14:paraId="0000004F">
            <w:pPr>
              <w:numPr>
                <w:ilvl w:val="0"/>
                <w:numId w:val="4"/>
              </w:numPr>
              <w:pBdr>
                <w:top w:color="auto" w:space="0" w:sz="0" w:val="none"/>
                <w:bottom w:color="auto" w:space="0" w:sz="0" w:val="none"/>
                <w:right w:color="auto" w:space="0" w:sz="0" w:val="none"/>
                <w:between w:color="auto" w:space="0" w:sz="0" w:val="none"/>
              </w:pBdr>
              <w:shd w:fill="ffffff" w:val="clear"/>
              <w:spacing w:after="200" w:before="0" w:line="360" w:lineRule="auto"/>
              <w:ind w:left="720" w:hanging="360"/>
            </w:pPr>
            <w:hyperlink r:id="rId19">
              <w:r w:rsidDel="00000000" w:rsidR="00000000" w:rsidRPr="00000000">
                <w:rPr>
                  <w:color w:val="1155cc"/>
                  <w:u w:val="single"/>
                  <w:rtl w:val="0"/>
                </w:rPr>
                <w:t xml:space="preserve">Deoxyribonucleic Acid</w:t>
              </w:r>
            </w:hyperlink>
            <w:r w:rsidDel="00000000" w:rsidR="00000000" w:rsidRPr="00000000">
              <w:rPr>
                <w:rtl w:val="0"/>
              </w:rPr>
            </w:r>
          </w:p>
          <w:p w:rsidR="00000000" w:rsidDel="00000000" w:rsidP="00000000" w:rsidRDefault="00000000" w:rsidRPr="00000000" w14:paraId="00000050">
            <w:pPr>
              <w:numPr>
                <w:ilvl w:val="0"/>
                <w:numId w:val="4"/>
              </w:numPr>
              <w:pBdr>
                <w:top w:color="auto" w:space="0" w:sz="0" w:val="none"/>
                <w:bottom w:color="auto" w:space="0" w:sz="0" w:val="none"/>
                <w:right w:color="auto" w:space="0" w:sz="0" w:val="none"/>
                <w:between w:color="auto" w:space="0" w:sz="0" w:val="none"/>
              </w:pBdr>
              <w:shd w:fill="ffffff" w:val="clear"/>
              <w:spacing w:after="200" w:before="0" w:line="360" w:lineRule="auto"/>
              <w:ind w:left="720" w:hanging="360"/>
            </w:pPr>
            <w:r w:rsidDel="00000000" w:rsidR="00000000" w:rsidRPr="00000000">
              <w:rPr>
                <w:rtl w:val="0"/>
              </w:rPr>
              <w:t xml:space="preserve">Understanding of DNA structure -  students should know that DNA is a double helix made of nucleotide base pairs (A-T, G-C), that the sequence of bases carries genetic information, and that DNA is organised into chromosomes in the cell nucleus.</w:t>
            </w:r>
          </w:p>
          <w:p w:rsidR="00000000" w:rsidDel="00000000" w:rsidP="00000000" w:rsidRDefault="00000000" w:rsidRPr="00000000" w14:paraId="00000051">
            <w:pPr>
              <w:numPr>
                <w:ilvl w:val="0"/>
                <w:numId w:val="4"/>
              </w:numPr>
              <w:pBdr>
                <w:top w:color="auto" w:space="0" w:sz="0" w:val="none"/>
                <w:bottom w:color="auto" w:space="0" w:sz="0" w:val="none"/>
                <w:right w:color="auto" w:space="0" w:sz="0" w:val="none"/>
                <w:between w:color="auto" w:space="0" w:sz="0" w:val="none"/>
              </w:pBdr>
              <w:shd w:fill="ffffff" w:val="clear"/>
              <w:spacing w:after="200" w:before="0" w:line="360" w:lineRule="auto"/>
              <w:ind w:left="720" w:hanging="360"/>
            </w:pPr>
            <w:r w:rsidDel="00000000" w:rsidR="00000000" w:rsidRPr="00000000">
              <w:rPr>
                <w:rtl w:val="0"/>
              </w:rPr>
              <w:t xml:space="preserve">Basic understanding of the central dogma - students should know  that DNA is transcribed into mRNA and mRNA is translated into protein. </w:t>
            </w:r>
          </w:p>
          <w:p w:rsidR="00000000" w:rsidDel="00000000" w:rsidP="00000000" w:rsidRDefault="00000000" w:rsidRPr="00000000" w14:paraId="00000052">
            <w:pPr>
              <w:numPr>
                <w:ilvl w:val="0"/>
                <w:numId w:val="4"/>
              </w:numPr>
              <w:pBdr>
                <w:top w:color="auto" w:space="0" w:sz="0" w:val="none"/>
                <w:bottom w:color="auto" w:space="0" w:sz="0" w:val="none"/>
                <w:right w:color="auto" w:space="0" w:sz="0" w:val="none"/>
                <w:between w:color="auto" w:space="0" w:sz="0" w:val="none"/>
              </w:pBdr>
              <w:shd w:fill="ffffff" w:val="clear"/>
              <w:spacing w:after="200" w:before="0" w:line="360" w:lineRule="auto"/>
              <w:ind w:left="720" w:hanging="360"/>
            </w:pPr>
            <w:r w:rsidDel="00000000" w:rsidR="00000000" w:rsidRPr="00000000">
              <w:rPr>
                <w:rtl w:val="0"/>
              </w:rPr>
              <w:t xml:space="preserve">Students should know that mRNA is read in triplets, that each codon specifies an amino acid, and that stop codons terminate translation. </w:t>
            </w:r>
          </w:p>
          <w:p w:rsidR="00000000" w:rsidDel="00000000" w:rsidP="00000000" w:rsidRDefault="00000000" w:rsidRPr="00000000" w14:paraId="00000053">
            <w:pPr>
              <w:numPr>
                <w:ilvl w:val="0"/>
                <w:numId w:val="4"/>
              </w:numPr>
              <w:pBdr>
                <w:top w:color="auto" w:space="0" w:sz="0" w:val="none"/>
                <w:bottom w:color="auto" w:space="0" w:sz="0" w:val="none"/>
                <w:right w:color="auto" w:space="0" w:sz="0" w:val="none"/>
                <w:between w:color="auto" w:space="0" w:sz="0" w:val="none"/>
              </w:pBdr>
              <w:shd w:fill="ffffff" w:val="clear"/>
              <w:spacing w:after="200" w:before="0" w:line="360" w:lineRule="auto"/>
              <w:ind w:left="720" w:hanging="360"/>
            </w:pPr>
            <w:r w:rsidDel="00000000" w:rsidR="00000000" w:rsidRPr="00000000">
              <w:rPr>
                <w:rtl w:val="0"/>
              </w:rPr>
              <w:t xml:space="preserve">Basic understanding of proteins and their functions. </w:t>
            </w:r>
          </w:p>
          <w:p w:rsidR="00000000" w:rsidDel="00000000" w:rsidP="00000000" w:rsidRDefault="00000000" w:rsidRPr="00000000" w14:paraId="00000054">
            <w:pPr>
              <w:numPr>
                <w:ilvl w:val="0"/>
                <w:numId w:val="4"/>
              </w:numPr>
              <w:pBdr>
                <w:top w:color="auto" w:space="0" w:sz="0" w:val="none"/>
                <w:bottom w:color="auto" w:space="0" w:sz="0" w:val="none"/>
                <w:right w:color="auto" w:space="0" w:sz="0" w:val="none"/>
                <w:between w:color="auto" w:space="0" w:sz="0" w:val="none"/>
              </w:pBdr>
              <w:shd w:fill="ffffff" w:val="clear"/>
              <w:spacing w:after="200" w:before="0" w:line="360" w:lineRule="auto"/>
              <w:ind w:left="720" w:hanging="360"/>
            </w:pPr>
            <w:r w:rsidDel="00000000" w:rsidR="00000000" w:rsidRPr="00000000">
              <w:rPr>
                <w:rtl w:val="0"/>
              </w:rPr>
              <w:t xml:space="preserve">Students should know that mutations are changes to the DNA sequence and that they can be inherited or acquired. </w:t>
            </w:r>
          </w:p>
          <w:p w:rsidR="00000000" w:rsidDel="00000000" w:rsidP="00000000" w:rsidRDefault="00000000" w:rsidRPr="00000000" w14:paraId="00000055">
            <w:pPr>
              <w:numPr>
                <w:ilvl w:val="0"/>
                <w:numId w:val="4"/>
              </w:numPr>
              <w:pBdr>
                <w:top w:color="auto" w:space="0" w:sz="0" w:val="none"/>
                <w:bottom w:color="auto" w:space="0" w:sz="0" w:val="none"/>
                <w:right w:color="auto" w:space="0" w:sz="0" w:val="none"/>
                <w:between w:color="auto" w:space="0" w:sz="0" w:val="none"/>
              </w:pBdr>
              <w:shd w:fill="ffffff" w:val="clear"/>
              <w:spacing w:after="200" w:before="180" w:line="360" w:lineRule="auto"/>
              <w:ind w:left="720" w:hanging="360"/>
            </w:pPr>
            <w:r w:rsidDel="00000000" w:rsidR="00000000" w:rsidRPr="00000000">
              <w:rPr>
                <w:rtl w:val="0"/>
              </w:rPr>
              <w:t xml:space="preserve">Students should know that cancer involves cells dividing without normal regulation, and that both genetic and environmental factors can contribute. </w:t>
            </w:r>
            <w:r w:rsidDel="00000000" w:rsidR="00000000" w:rsidRPr="00000000">
              <w:rPr>
                <w:rtl w:val="0"/>
              </w:rPr>
            </w:r>
          </w:p>
        </w:tc>
      </w:tr>
      <w:tr>
        <w:trPr>
          <w:cantSplit w:val="0"/>
          <w:trHeight w:val="420" w:hRule="atLeast"/>
          <w:tblHeader w:val="0"/>
        </w:trPr>
        <w:tc>
          <w:tcPr>
            <w:gridSpan w:val="2"/>
            <w:shd w:fill="b7b7b7" w:val="clear"/>
            <w:tcMar>
              <w:top w:w="100.0" w:type="dxa"/>
              <w:left w:w="100.0" w:type="dxa"/>
              <w:bottom w:w="100.0" w:type="dxa"/>
              <w:right w:w="100.0" w:type="dxa"/>
            </w:tcMar>
            <w:vAlign w:val="top"/>
          </w:tcPr>
          <w:p w:rsidR="00000000" w:rsidDel="00000000" w:rsidP="00000000" w:rsidRDefault="00000000" w:rsidRPr="00000000" w14:paraId="00000056">
            <w:pPr>
              <w:jc w:val="center"/>
              <w:rPr/>
            </w:pPr>
            <w:r w:rsidDel="00000000" w:rsidR="00000000" w:rsidRPr="00000000">
              <w:rPr>
                <w:b w:val="1"/>
                <w:bCs w:val="1"/>
                <w:rtl w:val="0"/>
              </w:rPr>
              <w:t xml:space="preserve">Lesson Details</w:t>
            </w:r>
            <w:r w:rsidDel="00000000" w:rsidR="00000000" w:rsidRPr="00000000">
              <w:rPr>
                <w:rtl w:val="0"/>
              </w:rPr>
            </w:r>
          </w:p>
        </w:tc>
      </w:tr>
      <w:tr>
        <w:trPr>
          <w:cantSplit w:val="0"/>
          <w:trHeight w:val="752.775878906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58">
            <w:pPr>
              <w:jc w:val="left"/>
              <w:rPr>
                <w:b w:val="1"/>
                <w:bCs w:val="1"/>
              </w:rPr>
            </w:pPr>
            <w:r w:rsidDel="00000000" w:rsidR="00000000" w:rsidRPr="00000000">
              <w:rPr>
                <w:b w:val="1"/>
                <w:bCs w:val="1"/>
                <w:rtl w:val="0"/>
              </w:rPr>
              <w:t xml:space="preserve">Lesson Hook &amp; Warm-up</w:t>
            </w:r>
          </w:p>
          <w:p w:rsidR="00000000" w:rsidDel="00000000" w:rsidP="00000000" w:rsidRDefault="00000000" w:rsidRPr="00000000" w14:paraId="00000059">
            <w:pPr>
              <w:jc w:val="left"/>
              <w:rPr>
                <w:b w:val="1"/>
                <w:bCs w:val="1"/>
              </w:rPr>
            </w:pPr>
            <w:r w:rsidDel="00000000" w:rsidR="00000000" w:rsidRPr="00000000">
              <w:rPr>
                <w:rtl w:val="0"/>
              </w:rPr>
            </w:r>
          </w:p>
          <w:p w:rsidR="00000000" w:rsidDel="00000000" w:rsidP="00000000" w:rsidRDefault="00000000" w:rsidRPr="00000000" w14:paraId="0000005A">
            <w:pPr>
              <w:jc w:val="left"/>
              <w:rPr>
                <w:b w:val="1"/>
                <w:bCs w:val="1"/>
              </w:rPr>
            </w:pPr>
            <w:r w:rsidDel="00000000" w:rsidR="00000000" w:rsidRPr="00000000">
              <w:rPr>
                <w:b w:val="1"/>
                <w:bCs w:val="1"/>
                <w:rtl w:val="0"/>
              </w:rPr>
              <w:t xml:space="preserve">10mins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rPr>
                <w:b w:val="1"/>
                <w:bCs w:val="1"/>
              </w:rPr>
            </w:pPr>
            <w:r w:rsidDel="00000000" w:rsidR="00000000" w:rsidRPr="00000000">
              <w:rPr>
                <w:b w:val="1"/>
                <w:bCs w:val="1"/>
                <w:rtl w:val="0"/>
              </w:rPr>
              <w:t xml:space="preserve">Student Facing:</w:t>
            </w:r>
          </w:p>
          <w:p w:rsidR="00000000" w:rsidDel="00000000" w:rsidP="00000000" w:rsidRDefault="00000000" w:rsidRPr="00000000" w14:paraId="0000005C">
            <w:pPr>
              <w:numPr>
                <w:ilvl w:val="0"/>
                <w:numId w:val="5"/>
              </w:numPr>
              <w:spacing w:after="200" w:lineRule="auto"/>
              <w:ind w:left="720" w:hanging="360"/>
              <w:rPr>
                <w:u w:val="none"/>
              </w:rPr>
            </w:pPr>
            <w:r w:rsidDel="00000000" w:rsidR="00000000" w:rsidRPr="00000000">
              <w:rPr>
                <w:rtl w:val="0"/>
              </w:rPr>
              <w:t xml:space="preserve">Your teacher will write a sentence on the board. </w:t>
            </w:r>
          </w:p>
          <w:p w:rsidR="00000000" w:rsidDel="00000000" w:rsidP="00000000" w:rsidRDefault="00000000" w:rsidRPr="00000000" w14:paraId="0000005D">
            <w:pPr>
              <w:numPr>
                <w:ilvl w:val="0"/>
                <w:numId w:val="5"/>
              </w:numPr>
              <w:spacing w:after="200" w:before="0" w:lineRule="auto"/>
              <w:ind w:left="720" w:hanging="360"/>
              <w:rPr>
                <w:u w:val="none"/>
              </w:rPr>
            </w:pPr>
            <w:r w:rsidDel="00000000" w:rsidR="00000000" w:rsidRPr="00000000">
              <w:rPr>
                <w:rtl w:val="0"/>
              </w:rPr>
              <w:t xml:space="preserve">Read the sentence.</w:t>
            </w:r>
          </w:p>
          <w:p w:rsidR="00000000" w:rsidDel="00000000" w:rsidP="00000000" w:rsidRDefault="00000000" w:rsidRPr="00000000" w14:paraId="0000005E">
            <w:pPr>
              <w:numPr>
                <w:ilvl w:val="0"/>
                <w:numId w:val="5"/>
              </w:numPr>
              <w:spacing w:after="200" w:before="0" w:lineRule="auto"/>
              <w:ind w:left="720" w:hanging="360"/>
              <w:rPr>
                <w:u w:val="none"/>
              </w:rPr>
            </w:pPr>
            <w:r w:rsidDel="00000000" w:rsidR="00000000" w:rsidRPr="00000000">
              <w:rPr>
                <w:rtl w:val="0"/>
              </w:rPr>
              <w:t xml:space="preserve">Answer the questions the teacher is asking you.</w:t>
            </w:r>
          </w:p>
          <w:p w:rsidR="00000000" w:rsidDel="00000000" w:rsidP="00000000" w:rsidRDefault="00000000" w:rsidRPr="00000000" w14:paraId="0000005F">
            <w:pPr>
              <w:numPr>
                <w:ilvl w:val="0"/>
                <w:numId w:val="5"/>
              </w:numPr>
              <w:spacing w:after="200" w:lineRule="auto"/>
              <w:ind w:left="720" w:hanging="360"/>
              <w:rPr>
                <w:u w:val="none"/>
              </w:rPr>
            </w:pPr>
            <w:r w:rsidDel="00000000" w:rsidR="00000000" w:rsidRPr="00000000">
              <w:rPr>
                <w:rtl w:val="0"/>
              </w:rPr>
              <w:t xml:space="preserve">Notice the differences and changes.</w:t>
            </w:r>
          </w:p>
        </w:tc>
      </w:tr>
      <w:tr>
        <w:trPr>
          <w:cantSplit w:val="0"/>
          <w:trHeight w:val="527.77587890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60">
            <w:pPr>
              <w:spacing w:after="0" w:before="0" w:line="240" w:lineRule="auto"/>
              <w:ind w:left="0" w:firstLine="0"/>
              <w:jc w:val="left"/>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rPr>
                <w:b w:val="1"/>
                <w:bCs w:val="1"/>
              </w:rPr>
            </w:pPr>
            <w:r w:rsidDel="00000000" w:rsidR="00000000" w:rsidRPr="00000000">
              <w:rPr>
                <w:b w:val="1"/>
                <w:bCs w:val="1"/>
                <w:rtl w:val="0"/>
              </w:rPr>
              <w:t xml:space="preserve">Teacher Facing:</w:t>
            </w:r>
          </w:p>
          <w:p w:rsidR="00000000" w:rsidDel="00000000" w:rsidP="00000000" w:rsidRDefault="00000000" w:rsidRPr="00000000" w14:paraId="00000062">
            <w:pPr>
              <w:numPr>
                <w:ilvl w:val="0"/>
                <w:numId w:val="13"/>
              </w:numPr>
              <w:spacing w:after="0" w:before="240" w:lineRule="auto"/>
              <w:ind w:left="720" w:hanging="360"/>
              <w:rPr>
                <w:u w:val="none"/>
              </w:rPr>
            </w:pPr>
            <w:r w:rsidDel="00000000" w:rsidR="00000000" w:rsidRPr="00000000">
              <w:rPr>
                <w:rtl w:val="0"/>
              </w:rPr>
              <w:t xml:space="preserve">Write this sentence on the board:</w:t>
            </w:r>
          </w:p>
          <w:p w:rsidR="00000000" w:rsidDel="00000000" w:rsidP="00000000" w:rsidRDefault="00000000" w:rsidRPr="00000000" w14:paraId="00000063">
            <w:pPr>
              <w:numPr>
                <w:ilvl w:val="1"/>
                <w:numId w:val="13"/>
              </w:numPr>
              <w:spacing w:after="200" w:before="0" w:lineRule="auto"/>
              <w:ind w:left="1440" w:hanging="360"/>
              <w:rPr>
                <w:i w:val="1"/>
                <w:iCs w:val="1"/>
                <w:u w:val="none"/>
              </w:rPr>
            </w:pPr>
            <w:r w:rsidDel="00000000" w:rsidR="00000000" w:rsidRPr="00000000">
              <w:rPr>
                <w:i w:val="1"/>
                <w:iCs w:val="1"/>
                <w:rtl w:val="0"/>
              </w:rPr>
              <w:t xml:space="preserve">"The big red dog ran far and bit the fat cat."</w:t>
            </w:r>
          </w:p>
          <w:p w:rsidR="00000000" w:rsidDel="00000000" w:rsidP="00000000" w:rsidRDefault="00000000" w:rsidRPr="00000000" w14:paraId="00000064">
            <w:pPr>
              <w:numPr>
                <w:ilvl w:val="0"/>
                <w:numId w:val="13"/>
              </w:numPr>
              <w:spacing w:after="0" w:before="0" w:lineRule="auto"/>
              <w:ind w:left="720" w:hanging="360"/>
              <w:rPr>
                <w:u w:val="none"/>
              </w:rPr>
            </w:pPr>
            <w:r w:rsidDel="00000000" w:rsidR="00000000" w:rsidRPr="00000000">
              <w:rPr>
                <w:rtl w:val="0"/>
              </w:rPr>
              <w:t xml:space="preserve">Then write this below it:</w:t>
            </w:r>
          </w:p>
          <w:p w:rsidR="00000000" w:rsidDel="00000000" w:rsidP="00000000" w:rsidRDefault="00000000" w:rsidRPr="00000000" w14:paraId="00000065">
            <w:pPr>
              <w:numPr>
                <w:ilvl w:val="1"/>
                <w:numId w:val="13"/>
              </w:numPr>
              <w:spacing w:after="0" w:before="0" w:lineRule="auto"/>
              <w:ind w:left="1440" w:hanging="360"/>
              <w:rPr>
                <w:u w:val="none"/>
              </w:rPr>
            </w:pPr>
            <w:r w:rsidDel="00000000" w:rsidR="00000000" w:rsidRPr="00000000">
              <w:rPr>
                <w:i w:val="1"/>
                <w:iCs w:val="1"/>
                <w:rtl w:val="0"/>
              </w:rPr>
              <w:t xml:space="preserve">"The big rad dog ran far and bit the fat cat."</w:t>
            </w:r>
          </w:p>
          <w:p w:rsidR="00000000" w:rsidDel="00000000" w:rsidP="00000000" w:rsidRDefault="00000000" w:rsidRPr="00000000" w14:paraId="00000066">
            <w:pPr>
              <w:spacing w:after="0" w:before="0" w:lineRule="auto"/>
              <w:ind w:left="0" w:firstLine="0"/>
              <w:rPr/>
            </w:pPr>
            <w:r w:rsidDel="00000000" w:rsidR="00000000" w:rsidRPr="00000000">
              <w:rPr>
                <w:rtl w:val="0"/>
              </w:rPr>
            </w:r>
          </w:p>
          <w:p w:rsidR="00000000" w:rsidDel="00000000" w:rsidP="00000000" w:rsidRDefault="00000000" w:rsidRPr="00000000" w14:paraId="00000067">
            <w:pPr>
              <w:numPr>
                <w:ilvl w:val="0"/>
                <w:numId w:val="13"/>
              </w:numPr>
              <w:spacing w:after="200" w:before="0" w:lineRule="auto"/>
              <w:ind w:left="720" w:hanging="360"/>
              <w:rPr>
                <w:u w:val="none"/>
              </w:rPr>
            </w:pPr>
            <w:r w:rsidDel="00000000" w:rsidR="00000000" w:rsidRPr="00000000">
              <w:rPr>
                <w:rtl w:val="0"/>
              </w:rPr>
              <w:t xml:space="preserve">Ask students what changed. One letter. Ask: does that matter? Probably not — you can still read it.</w:t>
            </w:r>
          </w:p>
          <w:p w:rsidR="00000000" w:rsidDel="00000000" w:rsidP="00000000" w:rsidRDefault="00000000" w:rsidRPr="00000000" w14:paraId="00000068">
            <w:pPr>
              <w:numPr>
                <w:ilvl w:val="0"/>
                <w:numId w:val="13"/>
              </w:numPr>
              <w:spacing w:after="0" w:before="0" w:lineRule="auto"/>
              <w:ind w:left="720" w:hanging="360"/>
              <w:rPr>
                <w:u w:val="none"/>
              </w:rPr>
            </w:pPr>
            <w:r w:rsidDel="00000000" w:rsidR="00000000" w:rsidRPr="00000000">
              <w:rPr>
                <w:rtl w:val="0"/>
              </w:rPr>
              <w:t xml:space="preserve"> Now write:</w:t>
            </w:r>
          </w:p>
          <w:p w:rsidR="00000000" w:rsidDel="00000000" w:rsidP="00000000" w:rsidRDefault="00000000" w:rsidRPr="00000000" w14:paraId="00000069">
            <w:pPr>
              <w:numPr>
                <w:ilvl w:val="1"/>
                <w:numId w:val="13"/>
              </w:numPr>
              <w:spacing w:after="0" w:before="0" w:lineRule="auto"/>
              <w:ind w:left="1440" w:hanging="360"/>
              <w:rPr>
                <w:i w:val="1"/>
                <w:iCs w:val="1"/>
                <w:u w:val="none"/>
              </w:rPr>
            </w:pPr>
            <w:r w:rsidDel="00000000" w:rsidR="00000000" w:rsidRPr="00000000">
              <w:rPr>
                <w:i w:val="1"/>
                <w:iCs w:val="1"/>
                <w:rtl w:val="0"/>
              </w:rPr>
              <w:t xml:space="preserve">"The big red dog ran STOP"</w:t>
            </w:r>
          </w:p>
          <w:p w:rsidR="00000000" w:rsidDel="00000000" w:rsidP="00000000" w:rsidRDefault="00000000" w:rsidRPr="00000000" w14:paraId="0000006A">
            <w:pPr>
              <w:spacing w:after="0" w:before="0" w:lineRule="auto"/>
              <w:ind w:left="1440" w:firstLine="0"/>
              <w:rPr>
                <w:i w:val="1"/>
                <w:iCs w:val="1"/>
              </w:rPr>
            </w:pPr>
            <w:r w:rsidDel="00000000" w:rsidR="00000000" w:rsidRPr="00000000">
              <w:rPr>
                <w:rtl w:val="0"/>
              </w:rPr>
            </w:r>
          </w:p>
          <w:p w:rsidR="00000000" w:rsidDel="00000000" w:rsidP="00000000" w:rsidRDefault="00000000" w:rsidRPr="00000000" w14:paraId="0000006B">
            <w:pPr>
              <w:numPr>
                <w:ilvl w:val="0"/>
                <w:numId w:val="13"/>
              </w:numPr>
              <w:spacing w:after="200" w:before="0" w:lineRule="auto"/>
              <w:ind w:left="720" w:hanging="360"/>
              <w:rPr>
                <w:u w:val="none"/>
              </w:rPr>
            </w:pPr>
            <w:r w:rsidDel="00000000" w:rsidR="00000000" w:rsidRPr="00000000">
              <w:rPr>
                <w:rtl w:val="0"/>
              </w:rPr>
              <w:t xml:space="preserve">Ask: does that matter? Everything after STOP is gone.</w:t>
            </w:r>
          </w:p>
          <w:p w:rsidR="00000000" w:rsidDel="00000000" w:rsidP="00000000" w:rsidRDefault="00000000" w:rsidRPr="00000000" w14:paraId="0000006C">
            <w:pPr>
              <w:numPr>
                <w:ilvl w:val="0"/>
                <w:numId w:val="13"/>
              </w:numPr>
              <w:spacing w:after="0" w:before="0" w:lineRule="auto"/>
              <w:ind w:left="720" w:hanging="360"/>
              <w:rPr>
                <w:u w:val="none"/>
              </w:rPr>
            </w:pPr>
            <w:r w:rsidDel="00000000" w:rsidR="00000000" w:rsidRPr="00000000">
              <w:rPr>
                <w:rtl w:val="0"/>
              </w:rPr>
              <w:t xml:space="preserve"> Now write:</w:t>
            </w:r>
          </w:p>
          <w:p w:rsidR="00000000" w:rsidDel="00000000" w:rsidP="00000000" w:rsidRDefault="00000000" w:rsidRPr="00000000" w14:paraId="0000006D">
            <w:pPr>
              <w:numPr>
                <w:ilvl w:val="1"/>
                <w:numId w:val="13"/>
              </w:numPr>
              <w:spacing w:after="0" w:before="0" w:lineRule="auto"/>
              <w:ind w:left="1440" w:hanging="360"/>
              <w:rPr>
                <w:i w:val="1"/>
                <w:iCs w:val="1"/>
                <w:u w:val="none"/>
              </w:rPr>
            </w:pPr>
            <w:r w:rsidDel="00000000" w:rsidR="00000000" w:rsidRPr="00000000">
              <w:rPr>
                <w:i w:val="1"/>
                <w:iCs w:val="1"/>
                <w:rtl w:val="0"/>
              </w:rPr>
              <w:t xml:space="preserve">"Theb igr edd ogr anf ara ndb itt hef atc at."</w:t>
            </w:r>
          </w:p>
          <w:p w:rsidR="00000000" w:rsidDel="00000000" w:rsidP="00000000" w:rsidRDefault="00000000" w:rsidRPr="00000000" w14:paraId="0000006E">
            <w:pPr>
              <w:numPr>
                <w:ilvl w:val="0"/>
                <w:numId w:val="13"/>
              </w:numPr>
              <w:spacing w:after="0" w:before="240" w:lineRule="auto"/>
              <w:ind w:left="720" w:hanging="360"/>
              <w:rPr>
                <w:u w:val="none"/>
              </w:rPr>
            </w:pPr>
            <w:r w:rsidDel="00000000" w:rsidR="00000000" w:rsidRPr="00000000">
              <w:rPr>
                <w:rtl w:val="0"/>
              </w:rPr>
              <w:t xml:space="preserve">Ask: can you read that? </w:t>
            </w:r>
          </w:p>
          <w:p w:rsidR="00000000" w:rsidDel="00000000" w:rsidP="00000000" w:rsidRDefault="00000000" w:rsidRPr="00000000" w14:paraId="0000006F">
            <w:pPr>
              <w:numPr>
                <w:ilvl w:val="1"/>
                <w:numId w:val="13"/>
              </w:numPr>
              <w:spacing w:after="0" w:before="240" w:lineRule="auto"/>
              <w:ind w:left="1440" w:hanging="360"/>
              <w:rPr>
                <w:u w:val="none"/>
              </w:rPr>
            </w:pPr>
            <w:r w:rsidDel="00000000" w:rsidR="00000000" w:rsidRPr="00000000">
              <w:rPr>
                <w:rtl w:val="0"/>
              </w:rPr>
              <w:t xml:space="preserve">No,  the spaces shifted and the whole sentence became nonsense. Tell students they just saw a silent mutation, a nonsense mutation, and a frameshift mutation,  and that today they will analyse real data showing what happens to human cancer risk when each of those changes occurs in a gene called BRCA1.</w:t>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70">
            <w:pPr>
              <w:jc w:val="left"/>
              <w:rPr>
                <w:b w:val="1"/>
                <w:bCs w:val="1"/>
              </w:rPr>
            </w:pPr>
            <w:r w:rsidDel="00000000" w:rsidR="00000000" w:rsidRPr="00000000">
              <w:rPr>
                <w:b w:val="1"/>
                <w:bCs w:val="1"/>
                <w:rtl w:val="0"/>
              </w:rPr>
              <w:t xml:space="preserve">Activity 1</w:t>
            </w:r>
          </w:p>
          <w:p w:rsidR="00000000" w:rsidDel="00000000" w:rsidP="00000000" w:rsidRDefault="00000000" w:rsidRPr="00000000" w14:paraId="00000071">
            <w:pPr>
              <w:jc w:val="left"/>
              <w:rPr>
                <w:b w:val="1"/>
                <w:bCs w:val="1"/>
              </w:rPr>
            </w:pPr>
            <w:r w:rsidDel="00000000" w:rsidR="00000000" w:rsidRPr="00000000">
              <w:rPr>
                <w:rtl w:val="0"/>
              </w:rPr>
            </w:r>
          </w:p>
          <w:p w:rsidR="00000000" w:rsidDel="00000000" w:rsidP="00000000" w:rsidRDefault="00000000" w:rsidRPr="00000000" w14:paraId="00000072">
            <w:pPr>
              <w:jc w:val="left"/>
              <w:rPr/>
            </w:pPr>
            <w:r w:rsidDel="00000000" w:rsidR="00000000" w:rsidRPr="00000000">
              <w:rPr>
                <w:b w:val="1"/>
                <w:bCs w:val="1"/>
                <w:rtl w:val="0"/>
              </w:rPr>
              <w:t xml:space="preserve">15 mins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rPr>
                <w:b w:val="1"/>
                <w:bCs w:val="1"/>
              </w:rPr>
            </w:pPr>
            <w:r w:rsidDel="00000000" w:rsidR="00000000" w:rsidRPr="00000000">
              <w:rPr>
                <w:b w:val="1"/>
                <w:bCs w:val="1"/>
                <w:rtl w:val="0"/>
              </w:rPr>
              <w:t xml:space="preserve">Student Facing:</w:t>
            </w:r>
          </w:p>
          <w:p w:rsidR="00000000" w:rsidDel="00000000" w:rsidP="00000000" w:rsidRDefault="00000000" w:rsidRPr="00000000" w14:paraId="00000074">
            <w:pPr>
              <w:numPr>
                <w:ilvl w:val="0"/>
                <w:numId w:val="2"/>
              </w:numPr>
              <w:ind w:left="720" w:hanging="360"/>
              <w:rPr>
                <w:u w:val="none"/>
              </w:rPr>
            </w:pPr>
            <w:r w:rsidDel="00000000" w:rsidR="00000000" w:rsidRPr="00000000">
              <w:rPr>
                <w:rtl w:val="0"/>
              </w:rPr>
              <w:t xml:space="preserve">Answer questions in Section 1 and 2.</w:t>
            </w:r>
          </w:p>
          <w:p w:rsidR="00000000" w:rsidDel="00000000" w:rsidP="00000000" w:rsidRDefault="00000000" w:rsidRPr="00000000" w14:paraId="00000075">
            <w:pPr>
              <w:rPr>
                <w:b w:val="1"/>
                <w:bCs w:val="1"/>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76">
            <w:pPr>
              <w:spacing w:after="0" w:before="0" w:line="240" w:lineRule="auto"/>
              <w:ind w:left="0" w:firstLine="0"/>
              <w:jc w:val="left"/>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rPr>
                <w:b w:val="1"/>
                <w:bCs w:val="1"/>
              </w:rPr>
            </w:pPr>
            <w:r w:rsidDel="00000000" w:rsidR="00000000" w:rsidRPr="00000000">
              <w:rPr>
                <w:b w:val="1"/>
                <w:bCs w:val="1"/>
                <w:rtl w:val="0"/>
              </w:rPr>
              <w:t xml:space="preserve">Teacher Facing:</w:t>
            </w:r>
          </w:p>
          <w:p w:rsidR="00000000" w:rsidDel="00000000" w:rsidP="00000000" w:rsidRDefault="00000000" w:rsidRPr="00000000" w14:paraId="00000078">
            <w:pPr>
              <w:numPr>
                <w:ilvl w:val="0"/>
                <w:numId w:val="14"/>
              </w:numPr>
              <w:ind w:left="720" w:hanging="360"/>
              <w:rPr>
                <w:u w:val="none"/>
              </w:rPr>
            </w:pPr>
            <w:r w:rsidDel="00000000" w:rsidR="00000000" w:rsidRPr="00000000">
              <w:rPr>
                <w:rtl w:val="0"/>
              </w:rPr>
              <w:t xml:space="preserve">Walk around and help students if they need help with the questions.</w:t>
            </w:r>
          </w:p>
          <w:p w:rsidR="00000000" w:rsidDel="00000000" w:rsidP="00000000" w:rsidRDefault="00000000" w:rsidRPr="00000000" w14:paraId="00000079">
            <w:pPr>
              <w:rPr>
                <w:b w:val="1"/>
                <w:bCs w:val="1"/>
              </w:rPr>
            </w:pPr>
            <w:r w:rsidDel="00000000" w:rsidR="00000000" w:rsidRPr="00000000">
              <w:rPr>
                <w:rtl w:val="0"/>
              </w:rPr>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7A">
            <w:pPr>
              <w:jc w:val="left"/>
              <w:rPr>
                <w:b w:val="1"/>
                <w:bCs w:val="1"/>
              </w:rPr>
            </w:pPr>
            <w:r w:rsidDel="00000000" w:rsidR="00000000" w:rsidRPr="00000000">
              <w:rPr>
                <w:b w:val="1"/>
                <w:bCs w:val="1"/>
                <w:rtl w:val="0"/>
              </w:rPr>
              <w:t xml:space="preserve">Activity 2</w:t>
            </w:r>
          </w:p>
          <w:p w:rsidR="00000000" w:rsidDel="00000000" w:rsidP="00000000" w:rsidRDefault="00000000" w:rsidRPr="00000000" w14:paraId="0000007B">
            <w:pPr>
              <w:jc w:val="left"/>
              <w:rPr>
                <w:b w:val="1"/>
                <w:bCs w:val="1"/>
              </w:rPr>
            </w:pPr>
            <w:r w:rsidDel="00000000" w:rsidR="00000000" w:rsidRPr="00000000">
              <w:rPr>
                <w:rtl w:val="0"/>
              </w:rPr>
            </w:r>
          </w:p>
          <w:p w:rsidR="00000000" w:rsidDel="00000000" w:rsidP="00000000" w:rsidRDefault="00000000" w:rsidRPr="00000000" w14:paraId="0000007C">
            <w:pPr>
              <w:jc w:val="left"/>
              <w:rPr/>
            </w:pPr>
            <w:r w:rsidDel="00000000" w:rsidR="00000000" w:rsidRPr="00000000">
              <w:rPr>
                <w:b w:val="1"/>
                <w:bCs w:val="1"/>
                <w:rtl w:val="0"/>
              </w:rPr>
              <w:t xml:space="preserve">20 mins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D">
            <w:pPr>
              <w:rPr>
                <w:b w:val="1"/>
                <w:bCs w:val="1"/>
              </w:rPr>
            </w:pPr>
            <w:r w:rsidDel="00000000" w:rsidR="00000000" w:rsidRPr="00000000">
              <w:rPr>
                <w:b w:val="1"/>
                <w:bCs w:val="1"/>
                <w:rtl w:val="0"/>
              </w:rPr>
              <w:t xml:space="preserve">Student Facing:</w:t>
            </w:r>
          </w:p>
          <w:p w:rsidR="00000000" w:rsidDel="00000000" w:rsidP="00000000" w:rsidRDefault="00000000" w:rsidRPr="00000000" w14:paraId="0000007E">
            <w:pPr>
              <w:numPr>
                <w:ilvl w:val="0"/>
                <w:numId w:val="16"/>
              </w:numPr>
              <w:spacing w:after="200" w:lineRule="auto"/>
              <w:ind w:left="720" w:hanging="360"/>
              <w:rPr>
                <w:u w:val="none"/>
              </w:rPr>
            </w:pPr>
            <w:r w:rsidDel="00000000" w:rsidR="00000000" w:rsidRPr="00000000">
              <w:rPr>
                <w:rtl w:val="0"/>
              </w:rPr>
              <w:t xml:space="preserve">Use the data set and create the graph in CODAP.</w:t>
            </w:r>
          </w:p>
          <w:p w:rsidR="00000000" w:rsidDel="00000000" w:rsidP="00000000" w:rsidRDefault="00000000" w:rsidRPr="00000000" w14:paraId="0000007F">
            <w:pPr>
              <w:numPr>
                <w:ilvl w:val="0"/>
                <w:numId w:val="16"/>
              </w:numPr>
              <w:spacing w:after="200" w:lineRule="auto"/>
              <w:ind w:left="720" w:hanging="360"/>
              <w:rPr>
                <w:u w:val="none"/>
              </w:rPr>
            </w:pPr>
            <w:r w:rsidDel="00000000" w:rsidR="00000000" w:rsidRPr="00000000">
              <w:rPr>
                <w:rtl w:val="0"/>
              </w:rPr>
              <w:t xml:space="preserve"> Answer questions Q4 and Q5.</w:t>
            </w:r>
          </w:p>
          <w:p w:rsidR="00000000" w:rsidDel="00000000" w:rsidP="00000000" w:rsidRDefault="00000000" w:rsidRPr="00000000" w14:paraId="00000080">
            <w:pPr>
              <w:numPr>
                <w:ilvl w:val="0"/>
                <w:numId w:val="16"/>
              </w:numPr>
              <w:spacing w:after="200" w:lineRule="auto"/>
              <w:ind w:left="720" w:hanging="360"/>
              <w:rPr>
                <w:u w:val="none"/>
              </w:rPr>
            </w:pPr>
            <w:r w:rsidDel="00000000" w:rsidR="00000000" w:rsidRPr="00000000">
              <w:rPr>
                <w:rtl w:val="0"/>
              </w:rPr>
              <w:t xml:space="preserve">Continue with answering the analysis questions in Section 5: CODAP Analysis Questions.</w:t>
            </w:r>
            <w:r w:rsidDel="00000000" w:rsidR="00000000" w:rsidRPr="00000000">
              <w:rPr>
                <w:rtl w:val="0"/>
              </w:rPr>
            </w:r>
          </w:p>
        </w:tc>
      </w:tr>
      <w:tr>
        <w:trPr>
          <w:cantSplit w:val="0"/>
          <w:trHeight w:val="521.8505859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81">
            <w:pPr>
              <w:spacing w:after="0" w:before="0" w:line="240" w:lineRule="auto"/>
              <w:ind w:left="0" w:firstLine="0"/>
              <w:jc w:val="left"/>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2">
            <w:pPr>
              <w:rPr>
                <w:b w:val="1"/>
                <w:bCs w:val="1"/>
              </w:rPr>
            </w:pPr>
            <w:r w:rsidDel="00000000" w:rsidR="00000000" w:rsidRPr="00000000">
              <w:rPr>
                <w:b w:val="1"/>
                <w:bCs w:val="1"/>
                <w:rtl w:val="0"/>
              </w:rPr>
              <w:t xml:space="preserve">Teacher Facing:</w:t>
            </w:r>
          </w:p>
          <w:p w:rsidR="00000000" w:rsidDel="00000000" w:rsidP="00000000" w:rsidRDefault="00000000" w:rsidRPr="00000000" w14:paraId="00000083">
            <w:pPr>
              <w:numPr>
                <w:ilvl w:val="0"/>
                <w:numId w:val="12"/>
              </w:numPr>
              <w:ind w:left="720" w:hanging="360"/>
              <w:rPr>
                <w:u w:val="none"/>
              </w:rPr>
            </w:pPr>
            <w:r w:rsidDel="00000000" w:rsidR="00000000" w:rsidRPr="00000000">
              <w:rPr>
                <w:rtl w:val="0"/>
              </w:rPr>
              <w:t xml:space="preserve">Help students create the graphs and answer the questions.</w:t>
            </w:r>
          </w:p>
        </w:tc>
      </w:tr>
      <w:tr>
        <w:trPr>
          <w:cantSplit w:val="0"/>
          <w:trHeight w:val="75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84">
            <w:pPr>
              <w:jc w:val="left"/>
              <w:rPr>
                <w:b w:val="1"/>
                <w:bCs w:val="1"/>
              </w:rPr>
            </w:pPr>
            <w:r w:rsidDel="00000000" w:rsidR="00000000" w:rsidRPr="00000000">
              <w:rPr>
                <w:b w:val="1"/>
                <w:bCs w:val="1"/>
                <w:rtl w:val="0"/>
              </w:rPr>
              <w:t xml:space="preserve">Lesson Synthesis</w:t>
            </w:r>
          </w:p>
          <w:p w:rsidR="00000000" w:rsidDel="00000000" w:rsidP="00000000" w:rsidRDefault="00000000" w:rsidRPr="00000000" w14:paraId="00000085">
            <w:pPr>
              <w:jc w:val="left"/>
              <w:rPr>
                <w:b w:val="1"/>
                <w:bCs w:val="1"/>
              </w:rPr>
            </w:pPr>
            <w:r w:rsidDel="00000000" w:rsidR="00000000" w:rsidRPr="00000000">
              <w:rPr>
                <w:rtl w:val="0"/>
              </w:rPr>
            </w:r>
          </w:p>
          <w:p w:rsidR="00000000" w:rsidDel="00000000" w:rsidP="00000000" w:rsidRDefault="00000000" w:rsidRPr="00000000" w14:paraId="00000086">
            <w:pPr>
              <w:jc w:val="left"/>
              <w:rPr>
                <w:b w:val="1"/>
                <w:bCs w:val="1"/>
              </w:rPr>
            </w:pPr>
            <w:r w:rsidDel="00000000" w:rsidR="00000000" w:rsidRPr="00000000">
              <w:rPr>
                <w:b w:val="1"/>
                <w:bCs w:val="1"/>
                <w:rtl w:val="0"/>
              </w:rPr>
              <w:t xml:space="preserve">20 mins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87">
            <w:pPr>
              <w:rPr>
                <w:b w:val="1"/>
                <w:bCs w:val="1"/>
              </w:rPr>
            </w:pPr>
            <w:r w:rsidDel="00000000" w:rsidR="00000000" w:rsidRPr="00000000">
              <w:rPr>
                <w:b w:val="1"/>
                <w:bCs w:val="1"/>
                <w:rtl w:val="0"/>
              </w:rPr>
              <w:t xml:space="preserve">Student Facing:</w:t>
            </w:r>
          </w:p>
          <w:p w:rsidR="00000000" w:rsidDel="00000000" w:rsidP="00000000" w:rsidRDefault="00000000" w:rsidRPr="00000000" w14:paraId="00000088">
            <w:pPr>
              <w:numPr>
                <w:ilvl w:val="0"/>
                <w:numId w:val="15"/>
              </w:numPr>
              <w:ind w:left="720" w:hanging="360"/>
              <w:rPr>
                <w:u w:val="none"/>
              </w:rPr>
            </w:pPr>
            <w:r w:rsidDel="00000000" w:rsidR="00000000" w:rsidRPr="00000000">
              <w:rPr>
                <w:rtl w:val="0"/>
              </w:rPr>
              <w:t xml:space="preserve">Complete the analysis questions in Section 6. </w:t>
            </w:r>
          </w:p>
        </w:tc>
      </w:tr>
      <w:tr>
        <w:trPr>
          <w:cantSplit w:val="0"/>
          <w:trHeight w:val="518.701171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89">
            <w:pPr>
              <w:spacing w:after="0" w:before="0" w:line="240" w:lineRule="auto"/>
              <w:ind w:left="0" w:firstLine="0"/>
              <w:jc w:val="left"/>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A">
            <w:pPr>
              <w:rPr>
                <w:b w:val="1"/>
                <w:bCs w:val="1"/>
              </w:rPr>
            </w:pPr>
            <w:r w:rsidDel="00000000" w:rsidR="00000000" w:rsidRPr="00000000">
              <w:rPr>
                <w:b w:val="1"/>
                <w:bCs w:val="1"/>
                <w:rtl w:val="0"/>
              </w:rPr>
              <w:t xml:space="preserve">Teacher Facing:</w:t>
            </w:r>
          </w:p>
          <w:p w:rsidR="00000000" w:rsidDel="00000000" w:rsidP="00000000" w:rsidRDefault="00000000" w:rsidRPr="00000000" w14:paraId="0000008B">
            <w:pPr>
              <w:numPr>
                <w:ilvl w:val="0"/>
                <w:numId w:val="7"/>
              </w:numPr>
              <w:ind w:left="720" w:hanging="360"/>
              <w:rPr/>
            </w:pPr>
            <w:r w:rsidDel="00000000" w:rsidR="00000000" w:rsidRPr="00000000">
              <w:rPr>
                <w:rtl w:val="0"/>
              </w:rPr>
              <w:t xml:space="preserve">Students may complete the analysis question in Section 6 in a group or individually.</w:t>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8C">
            <w:pPr>
              <w:jc w:val="left"/>
              <w:rPr>
                <w:b w:val="1"/>
                <w:bCs w:val="1"/>
              </w:rPr>
            </w:pPr>
            <w:r w:rsidDel="00000000" w:rsidR="00000000" w:rsidRPr="00000000">
              <w:rPr>
                <w:b w:val="1"/>
                <w:bCs w:val="1"/>
                <w:rtl w:val="0"/>
              </w:rPr>
              <w:t xml:space="preserve">Closing Activity </w:t>
            </w:r>
          </w:p>
          <w:p w:rsidR="00000000" w:rsidDel="00000000" w:rsidP="00000000" w:rsidRDefault="00000000" w:rsidRPr="00000000" w14:paraId="0000008D">
            <w:pPr>
              <w:jc w:val="left"/>
              <w:rPr>
                <w:b w:val="1"/>
                <w:bCs w:val="1"/>
              </w:rPr>
            </w:pPr>
            <w:r w:rsidDel="00000000" w:rsidR="00000000" w:rsidRPr="00000000">
              <w:rPr>
                <w:rtl w:val="0"/>
              </w:rPr>
            </w:r>
          </w:p>
          <w:p w:rsidR="00000000" w:rsidDel="00000000" w:rsidP="00000000" w:rsidRDefault="00000000" w:rsidRPr="00000000" w14:paraId="0000008E">
            <w:pPr>
              <w:jc w:val="left"/>
              <w:rPr/>
            </w:pPr>
            <w:r w:rsidDel="00000000" w:rsidR="00000000" w:rsidRPr="00000000">
              <w:rPr>
                <w:b w:val="1"/>
                <w:bCs w:val="1"/>
                <w:rtl w:val="0"/>
              </w:rPr>
              <w:t xml:space="preserve">10 mins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F">
            <w:pPr>
              <w:rPr>
                <w:b w:val="1"/>
                <w:bCs w:val="1"/>
              </w:rPr>
            </w:pPr>
            <w:r w:rsidDel="00000000" w:rsidR="00000000" w:rsidRPr="00000000">
              <w:rPr>
                <w:b w:val="1"/>
                <w:bCs w:val="1"/>
                <w:rtl w:val="0"/>
              </w:rPr>
              <w:t xml:space="preserve">Student Facing:</w:t>
            </w:r>
          </w:p>
          <w:p w:rsidR="00000000" w:rsidDel="00000000" w:rsidP="00000000" w:rsidRDefault="00000000" w:rsidRPr="00000000" w14:paraId="00000090">
            <w:pPr>
              <w:numPr>
                <w:ilvl w:val="0"/>
                <w:numId w:val="1"/>
              </w:numPr>
              <w:spacing w:after="0" w:lineRule="auto"/>
              <w:ind w:left="720" w:hanging="360"/>
              <w:rPr/>
            </w:pPr>
            <w:r w:rsidDel="00000000" w:rsidR="00000000" w:rsidRPr="00000000">
              <w:rPr>
                <w:rtl w:val="0"/>
              </w:rPr>
              <w:t xml:space="preserve">Using the information you discovered</w:t>
            </w:r>
          </w:p>
          <w:p w:rsidR="00000000" w:rsidDel="00000000" w:rsidP="00000000" w:rsidRDefault="00000000" w:rsidRPr="00000000" w14:paraId="00000091">
            <w:pPr>
              <w:numPr>
                <w:ilvl w:val="1"/>
                <w:numId w:val="1"/>
              </w:numPr>
              <w:spacing w:after="0" w:lineRule="auto"/>
              <w:ind w:left="1440" w:hanging="360"/>
              <w:rPr/>
            </w:pPr>
            <w:r w:rsidDel="00000000" w:rsidR="00000000" w:rsidRPr="00000000">
              <w:rPr>
                <w:rtl w:val="0"/>
              </w:rPr>
              <w:t xml:space="preserve">Write a CER that answers the guiding questions: </w:t>
            </w:r>
          </w:p>
          <w:p w:rsidR="00000000" w:rsidDel="00000000" w:rsidP="00000000" w:rsidRDefault="00000000" w:rsidRPr="00000000" w14:paraId="00000092">
            <w:pPr>
              <w:numPr>
                <w:ilvl w:val="2"/>
                <w:numId w:val="1"/>
              </w:numPr>
              <w:spacing w:after="0" w:lineRule="auto"/>
              <w:ind w:left="2160" w:hanging="360"/>
              <w:rPr/>
            </w:pPr>
            <w:r w:rsidDel="00000000" w:rsidR="00000000" w:rsidRPr="00000000">
              <w:rPr>
                <w:color w:val="2c3e50"/>
                <w:rtl w:val="0"/>
              </w:rPr>
              <w:t xml:space="preserve">How does the structure of DNA determine the structure and function of BRCA proteins? </w:t>
            </w:r>
          </w:p>
          <w:p w:rsidR="00000000" w:rsidDel="00000000" w:rsidP="00000000" w:rsidRDefault="00000000" w:rsidRPr="00000000" w14:paraId="00000093">
            <w:pPr>
              <w:numPr>
                <w:ilvl w:val="2"/>
                <w:numId w:val="1"/>
              </w:numPr>
              <w:spacing w:after="0" w:lineRule="auto"/>
              <w:ind w:left="2160" w:hanging="360"/>
              <w:rPr/>
            </w:pPr>
            <w:r w:rsidDel="00000000" w:rsidR="00000000" w:rsidRPr="00000000">
              <w:rPr>
                <w:color w:val="2c3e50"/>
                <w:rtl w:val="0"/>
              </w:rPr>
              <w:t xml:space="preserve">How do different types of DNA changes lead to different effects on organisms?</w:t>
            </w: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94">
            <w:pPr>
              <w:spacing w:after="0" w:before="0" w:line="240" w:lineRule="auto"/>
              <w:ind w:left="0" w:firstLine="0"/>
              <w:jc w:val="left"/>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5">
            <w:pPr>
              <w:rPr>
                <w:b w:val="1"/>
                <w:bCs w:val="1"/>
              </w:rPr>
            </w:pPr>
            <w:r w:rsidDel="00000000" w:rsidR="00000000" w:rsidRPr="00000000">
              <w:rPr>
                <w:b w:val="1"/>
                <w:bCs w:val="1"/>
                <w:rtl w:val="0"/>
              </w:rPr>
              <w:t xml:space="preserve">Teacher Facing:</w:t>
            </w:r>
          </w:p>
          <w:p w:rsidR="00000000" w:rsidDel="00000000" w:rsidP="00000000" w:rsidRDefault="00000000" w:rsidRPr="00000000" w14:paraId="00000096">
            <w:pPr>
              <w:numPr>
                <w:ilvl w:val="0"/>
                <w:numId w:val="8"/>
              </w:numPr>
              <w:ind w:left="720" w:hanging="360"/>
              <w:rPr>
                <w:u w:val="none"/>
              </w:rPr>
            </w:pPr>
            <w:r w:rsidDel="00000000" w:rsidR="00000000" w:rsidRPr="00000000">
              <w:rPr>
                <w:rtl w:val="0"/>
              </w:rPr>
              <w:t xml:space="preserve">Guide students to create a CER to answer the guiding questions.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7">
            <w:pPr>
              <w:jc w:val="left"/>
              <w:rPr/>
            </w:pPr>
            <w:r w:rsidDel="00000000" w:rsidR="00000000" w:rsidRPr="00000000">
              <w:rPr>
                <w:b w:val="1"/>
                <w:bCs w:val="1"/>
                <w:rtl w:val="0"/>
              </w:rPr>
              <w:t xml:space="preserve">Student Follow Up &amp; Practice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numPr>
                <w:ilvl w:val="0"/>
                <w:numId w:val="3"/>
              </w:numPr>
              <w:ind w:left="720" w:hanging="360"/>
            </w:pPr>
            <w:hyperlink r:id="rId20">
              <w:r w:rsidDel="00000000" w:rsidR="00000000" w:rsidRPr="00000000">
                <w:rPr>
                  <w:color w:val="1155cc"/>
                  <w:u w:val="single"/>
                  <w:rtl w:val="0"/>
                </w:rPr>
                <w:t xml:space="preserve">Building DNA Virtual Lab | ExploreLearning Gizmos</w:t>
              </w:r>
            </w:hyperlink>
            <w:r w:rsidDel="00000000" w:rsidR="00000000" w:rsidRPr="00000000">
              <w:rPr>
                <w:rtl w:val="0"/>
              </w:rPr>
              <w:t xml:space="preserve"> </w:t>
            </w:r>
          </w:p>
          <w:p w:rsidR="00000000" w:rsidDel="00000000" w:rsidP="00000000" w:rsidRDefault="00000000" w:rsidRPr="00000000" w14:paraId="0000009A">
            <w:pPr>
              <w:numPr>
                <w:ilvl w:val="0"/>
                <w:numId w:val="6"/>
              </w:numPr>
              <w:ind w:left="720" w:hanging="360"/>
            </w:pPr>
            <w:hyperlink r:id="rId21">
              <w:r w:rsidDel="00000000" w:rsidR="00000000" w:rsidRPr="00000000">
                <w:rPr>
                  <w:color w:val="1155cc"/>
                  <w:u w:val="single"/>
                  <w:rtl w:val="0"/>
                </w:rPr>
                <w:t xml:space="preserve">From DNA Mutations to Protein Structure – Connected Biology</w:t>
              </w:r>
            </w:hyperlink>
            <w:r w:rsidDel="00000000" w:rsidR="00000000" w:rsidRPr="00000000">
              <w:rPr>
                <w:rtl w:val="0"/>
              </w:rPr>
              <w:t xml:space="preserve"> </w:t>
            </w:r>
            <w:r w:rsidDel="00000000" w:rsidR="00000000" w:rsidRPr="00000000">
              <w:rPr>
                <w:rtl w:val="0"/>
              </w:rPr>
              <w:t xml:space="preserve">Have students review what DNA sequencing looks like using the Gizmos information or the Connected Biology. You can still use this information if you do not have a subscription.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B">
            <w:pPr>
              <w:jc w:val="left"/>
              <w:rPr/>
            </w:pPr>
            <w:r w:rsidDel="00000000" w:rsidR="00000000" w:rsidRPr="00000000">
              <w:rPr>
                <w:b w:val="1"/>
                <w:bCs w:val="1"/>
                <w:rtl w:val="0"/>
              </w:rPr>
              <w:t xml:space="preserve">References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C">
            <w:pPr>
              <w:spacing w:line="240" w:lineRule="auto"/>
              <w:rPr>
                <w:color w:val="333333"/>
              </w:rPr>
            </w:pPr>
            <w:r w:rsidDel="00000000" w:rsidR="00000000" w:rsidRPr="00000000">
              <w:rPr>
                <w:color w:val="333333"/>
                <w:rtl w:val="0"/>
              </w:rPr>
              <w:t xml:space="preserve">GeneCards (genecards.org) — Weizmann Institute of Science. Human Protein Atlas (proteinatlas.org) — Uhlen et al. Accessed 2026. OMIM (omim.org) for additional stretch reference.</w:t>
            </w:r>
          </w:p>
          <w:p w:rsidR="00000000" w:rsidDel="00000000" w:rsidP="00000000" w:rsidRDefault="00000000" w:rsidRPr="00000000" w14:paraId="0000009D">
            <w:pPr>
              <w:spacing w:line="240" w:lineRule="auto"/>
              <w:rPr>
                <w:color w:val="333333"/>
              </w:rPr>
            </w:pPr>
            <w:r w:rsidDel="00000000" w:rsidR="00000000" w:rsidRPr="00000000">
              <w:rPr>
                <w:rtl w:val="0"/>
              </w:rPr>
            </w:r>
          </w:p>
          <w:p w:rsidR="00000000" w:rsidDel="00000000" w:rsidP="00000000" w:rsidRDefault="00000000" w:rsidRPr="00000000" w14:paraId="0000009E">
            <w:pPr>
              <w:jc w:val="left"/>
              <w:rPr/>
            </w:pPr>
            <w:r w:rsidDel="00000000" w:rsidR="00000000" w:rsidRPr="00000000">
              <w:rPr>
                <w:rtl w:val="0"/>
              </w:rPr>
              <w:t xml:space="preserve">BRCA Exchange. (2024). </w:t>
            </w:r>
            <w:r w:rsidDel="00000000" w:rsidR="00000000" w:rsidRPr="00000000">
              <w:rPr>
                <w:i w:val="1"/>
                <w:iCs w:val="1"/>
                <w:rtl w:val="0"/>
              </w:rPr>
              <w:t xml:space="preserve">BRCA Exchange: A global resource for BRCA1 and BRCA2 variants</w:t>
            </w:r>
            <w:r w:rsidDel="00000000" w:rsidR="00000000" w:rsidRPr="00000000">
              <w:rPr>
                <w:rtl w:val="0"/>
              </w:rPr>
              <w:t xml:space="preserve"> [Database]. Global Alliance for Genomics and Health.</w:t>
            </w:r>
            <w:hyperlink r:id="rId22">
              <w:r w:rsidDel="00000000" w:rsidR="00000000" w:rsidRPr="00000000">
                <w:rPr>
                  <w:rtl w:val="0"/>
                </w:rPr>
                <w:t xml:space="preserve"> </w:t>
              </w:r>
            </w:hyperlink>
            <w:hyperlink r:id="rId23">
              <w:r w:rsidDel="00000000" w:rsidR="00000000" w:rsidRPr="00000000">
                <w:rPr>
                  <w:color w:val="1155cc"/>
                  <w:u w:val="single"/>
                  <w:rtl w:val="0"/>
                </w:rPr>
                <w:t xml:space="preserve">https://brcaexchange.org</w:t>
              </w:r>
            </w:hyperlink>
            <w:r w:rsidDel="00000000" w:rsidR="00000000" w:rsidRPr="00000000">
              <w:rPr>
                <w:rtl w:val="0"/>
              </w:rPr>
            </w:r>
          </w:p>
          <w:p w:rsidR="00000000" w:rsidDel="00000000" w:rsidP="00000000" w:rsidRDefault="00000000" w:rsidRPr="00000000" w14:paraId="0000009F">
            <w:pPr>
              <w:jc w:val="left"/>
              <w:rPr/>
            </w:pPr>
            <w:r w:rsidDel="00000000" w:rsidR="00000000" w:rsidRPr="00000000">
              <w:rPr>
                <w:rtl w:val="0"/>
              </w:rPr>
            </w:r>
          </w:p>
          <w:p w:rsidR="00000000" w:rsidDel="00000000" w:rsidP="00000000" w:rsidRDefault="00000000" w:rsidRPr="00000000" w14:paraId="000000A0">
            <w:pPr>
              <w:jc w:val="left"/>
              <w:rPr/>
            </w:pPr>
            <w:r w:rsidDel="00000000" w:rsidR="00000000" w:rsidRPr="00000000">
              <w:rPr>
                <w:rtl w:val="0"/>
              </w:rPr>
              <w:t xml:space="preserve">Cline, M. S., Liao, R. G., Parsons, M. T., Paten, B., Alquaddoomi, F., Antoniou, A. C., Aradhya, S., Bernstein, I., Bhaskara, A., Bloom, J., Bowser, B., Briggs, S., Canova, C., Carter, N. P., Chanock, S., Chen, F., Cheung, J. C., Couch, F. J., Dolinsky, J., … Goldgar, D. (2018). BRCA Challenge: BRCA Exchange as a global resource for variants in BRCA1 and BRCA2. </w:t>
            </w:r>
            <w:r w:rsidDel="00000000" w:rsidR="00000000" w:rsidRPr="00000000">
              <w:rPr>
                <w:i w:val="1"/>
                <w:iCs w:val="1"/>
                <w:rtl w:val="0"/>
              </w:rPr>
              <w:t xml:space="preserve">PLOS Genetics</w:t>
            </w:r>
            <w:r w:rsidDel="00000000" w:rsidR="00000000" w:rsidRPr="00000000">
              <w:rPr>
                <w:rtl w:val="0"/>
              </w:rPr>
              <w:t xml:space="preserve">, </w:t>
            </w:r>
            <w:r w:rsidDel="00000000" w:rsidR="00000000" w:rsidRPr="00000000">
              <w:rPr>
                <w:i w:val="1"/>
                <w:iCs w:val="1"/>
                <w:rtl w:val="0"/>
              </w:rPr>
              <w:t xml:space="preserve">14</w:t>
            </w:r>
            <w:r w:rsidDel="00000000" w:rsidR="00000000" w:rsidRPr="00000000">
              <w:rPr>
                <w:rtl w:val="0"/>
              </w:rPr>
              <w:t xml:space="preserve">(12), e1007752.</w:t>
            </w:r>
            <w:hyperlink r:id="rId24">
              <w:r w:rsidDel="00000000" w:rsidR="00000000" w:rsidRPr="00000000">
                <w:rPr>
                  <w:rtl w:val="0"/>
                </w:rPr>
                <w:t xml:space="preserve"> </w:t>
              </w:r>
            </w:hyperlink>
            <w:hyperlink r:id="rId25">
              <w:r w:rsidDel="00000000" w:rsidR="00000000" w:rsidRPr="00000000">
                <w:rPr>
                  <w:color w:val="1155cc"/>
                  <w:u w:val="single"/>
                  <w:rtl w:val="0"/>
                </w:rPr>
                <w:t xml:space="preserve">https://doi.org/10.1371/journal.pgen.1007752</w:t>
              </w:r>
            </w:hyperlink>
            <w:r w:rsidDel="00000000" w:rsidR="00000000" w:rsidRPr="00000000">
              <w:rPr>
                <w:rtl w:val="0"/>
              </w:rPr>
            </w:r>
          </w:p>
          <w:p w:rsidR="00000000" w:rsidDel="00000000" w:rsidP="00000000" w:rsidRDefault="00000000" w:rsidRPr="00000000" w14:paraId="000000A1">
            <w:pPr>
              <w:jc w:val="left"/>
              <w:rPr/>
            </w:pPr>
            <w:r w:rsidDel="00000000" w:rsidR="00000000" w:rsidRPr="00000000">
              <w:rPr>
                <w:rtl w:val="0"/>
              </w:rPr>
            </w:r>
          </w:p>
          <w:p w:rsidR="00000000" w:rsidDel="00000000" w:rsidP="00000000" w:rsidRDefault="00000000" w:rsidRPr="00000000" w14:paraId="000000A2">
            <w:pPr>
              <w:jc w:val="left"/>
              <w:rPr/>
            </w:pPr>
            <w:r w:rsidDel="00000000" w:rsidR="00000000" w:rsidRPr="00000000">
              <w:rPr>
                <w:rtl w:val="0"/>
              </w:rPr>
              <w:t xml:space="preserve">Spurdle, A. B., Healey, S., Devereau, A., Hogervorst, F. B. L., Monteiro, A. N. A., Nathanson, K. L., Radice, P., Stoppa-Lyonnet, D., Tavtigian, S., Wappenschmidt, B., Couch, F. J., &amp; Goldgar, D. E. (2012). ENIGMA — Evidence-based network for the interpretation of germline mutant alleles: An international initiative to evaluate risk and clinical significance associated with sequence variation in BRCA1 and BRCA2. </w:t>
            </w:r>
            <w:r w:rsidDel="00000000" w:rsidR="00000000" w:rsidRPr="00000000">
              <w:rPr>
                <w:i w:val="1"/>
                <w:iCs w:val="1"/>
                <w:rtl w:val="0"/>
              </w:rPr>
              <w:t xml:space="preserve">Human Mutation</w:t>
            </w:r>
            <w:r w:rsidDel="00000000" w:rsidR="00000000" w:rsidRPr="00000000">
              <w:rPr>
                <w:rtl w:val="0"/>
              </w:rPr>
              <w:t xml:space="preserve">, </w:t>
            </w:r>
            <w:r w:rsidDel="00000000" w:rsidR="00000000" w:rsidRPr="00000000">
              <w:rPr>
                <w:i w:val="1"/>
                <w:iCs w:val="1"/>
                <w:rtl w:val="0"/>
              </w:rPr>
              <w:t xml:space="preserve">33</w:t>
            </w:r>
            <w:r w:rsidDel="00000000" w:rsidR="00000000" w:rsidRPr="00000000">
              <w:rPr>
                <w:rtl w:val="0"/>
              </w:rPr>
              <w:t xml:space="preserve">(1), 2–7.</w:t>
            </w:r>
            <w:hyperlink r:id="rId26">
              <w:r w:rsidDel="00000000" w:rsidR="00000000" w:rsidRPr="00000000">
                <w:rPr>
                  <w:rtl w:val="0"/>
                </w:rPr>
                <w:t xml:space="preserve"> </w:t>
              </w:r>
            </w:hyperlink>
            <w:hyperlink r:id="rId27">
              <w:r w:rsidDel="00000000" w:rsidR="00000000" w:rsidRPr="00000000">
                <w:rPr>
                  <w:color w:val="1155cc"/>
                  <w:u w:val="single"/>
                  <w:rtl w:val="0"/>
                </w:rPr>
                <w:t xml:space="preserve">https://doi.org/10.1002/humu.21628</w:t>
              </w:r>
            </w:hyperlink>
            <w:r w:rsidDel="00000000" w:rsidR="00000000" w:rsidRPr="00000000">
              <w:rPr>
                <w:rtl w:val="0"/>
              </w:rPr>
            </w:r>
          </w:p>
          <w:p w:rsidR="00000000" w:rsidDel="00000000" w:rsidP="00000000" w:rsidRDefault="00000000" w:rsidRPr="00000000" w14:paraId="000000A3">
            <w:pPr>
              <w:jc w:val="left"/>
              <w:rPr/>
            </w:pPr>
            <w:r w:rsidDel="00000000" w:rsidR="00000000" w:rsidRPr="00000000">
              <w:rPr>
                <w:rtl w:val="0"/>
              </w:rPr>
            </w:r>
          </w:p>
          <w:p w:rsidR="00000000" w:rsidDel="00000000" w:rsidP="00000000" w:rsidRDefault="00000000" w:rsidRPr="00000000" w14:paraId="000000A4">
            <w:pPr>
              <w:jc w:val="left"/>
              <w:rPr/>
            </w:pPr>
            <w:r w:rsidDel="00000000" w:rsidR="00000000" w:rsidRPr="00000000">
              <w:rPr>
                <w:rtl w:val="0"/>
              </w:rPr>
              <w:t xml:space="preserve">Kuchenbaecker, K. B., Hopper, J. L., Barnes, D. R., Phillips, K. A., Mooij, T. M., Roos-Blom, M. J., Jervis, S., van Leeuwen, F. E., Milne, R. L., Andrieu, N., Goldgar, D. E., Terry, M. B., Rookus, M. A., Easton, D. F., Antoniou, A. C., &amp; BRCA1 and BRCA2 Cohort Consortium. (2017). Risks of breast, ovarian, and contralateral breast cancer for BRCA1 and BRCA2 mutation carriers. </w:t>
            </w:r>
            <w:r w:rsidDel="00000000" w:rsidR="00000000" w:rsidRPr="00000000">
              <w:rPr>
                <w:i w:val="1"/>
                <w:iCs w:val="1"/>
                <w:rtl w:val="0"/>
              </w:rPr>
              <w:t xml:space="preserve">JAMA</w:t>
            </w:r>
            <w:r w:rsidDel="00000000" w:rsidR="00000000" w:rsidRPr="00000000">
              <w:rPr>
                <w:rtl w:val="0"/>
              </w:rPr>
              <w:t xml:space="preserve">, </w:t>
            </w:r>
            <w:r w:rsidDel="00000000" w:rsidR="00000000" w:rsidRPr="00000000">
              <w:rPr>
                <w:i w:val="1"/>
                <w:iCs w:val="1"/>
                <w:rtl w:val="0"/>
              </w:rPr>
              <w:t xml:space="preserve">317</w:t>
            </w:r>
            <w:r w:rsidDel="00000000" w:rsidR="00000000" w:rsidRPr="00000000">
              <w:rPr>
                <w:rtl w:val="0"/>
              </w:rPr>
              <w:t xml:space="preserve">(23), 2402–2416.</w:t>
            </w:r>
            <w:hyperlink r:id="rId28">
              <w:r w:rsidDel="00000000" w:rsidR="00000000" w:rsidRPr="00000000">
                <w:rPr>
                  <w:rtl w:val="0"/>
                </w:rPr>
                <w:t xml:space="preserve"> </w:t>
              </w:r>
            </w:hyperlink>
            <w:hyperlink r:id="rId29">
              <w:r w:rsidDel="00000000" w:rsidR="00000000" w:rsidRPr="00000000">
                <w:rPr>
                  <w:color w:val="1155cc"/>
                  <w:u w:val="single"/>
                  <w:rtl w:val="0"/>
                </w:rPr>
                <w:t xml:space="preserve">https://doi.org/10.1001/jama.2017.7112</w:t>
              </w:r>
            </w:hyperlink>
            <w:r w:rsidDel="00000000" w:rsidR="00000000" w:rsidRPr="00000000">
              <w:rPr>
                <w:rtl w:val="0"/>
              </w:rPr>
            </w:r>
          </w:p>
          <w:p w:rsidR="00000000" w:rsidDel="00000000" w:rsidP="00000000" w:rsidRDefault="00000000" w:rsidRPr="00000000" w14:paraId="000000A5">
            <w:pPr>
              <w:jc w:val="left"/>
              <w:rPr/>
            </w:pPr>
            <w:r w:rsidDel="00000000" w:rsidR="00000000" w:rsidRPr="00000000">
              <w:rPr>
                <w:rtl w:val="0"/>
              </w:rPr>
            </w:r>
          </w:p>
          <w:p w:rsidR="00000000" w:rsidDel="00000000" w:rsidP="00000000" w:rsidRDefault="00000000" w:rsidRPr="00000000" w14:paraId="000000A6">
            <w:pPr>
              <w:jc w:val="left"/>
              <w:rPr/>
            </w:pPr>
            <w:r w:rsidDel="00000000" w:rsidR="00000000" w:rsidRPr="00000000">
              <w:rPr>
                <w:rtl w:val="0"/>
              </w:rPr>
              <w:t xml:space="preserve">Harrison, S. M., Dolinsky, J. S., Knight Johnson, A. E., Pesaran, T., Azzariti, D. R., Bale, S., Chao, E. C., Das, S., Vincent, L., &amp; Rehm, H. L. (2017). Clinical laboratories collaborate to resolve variants of uncertain significance in BRCA1 and BRCA2. </w:t>
            </w:r>
            <w:r w:rsidDel="00000000" w:rsidR="00000000" w:rsidRPr="00000000">
              <w:rPr>
                <w:i w:val="1"/>
                <w:iCs w:val="1"/>
                <w:rtl w:val="0"/>
              </w:rPr>
              <w:t xml:space="preserve">Genetics in Medicine</w:t>
            </w:r>
            <w:r w:rsidDel="00000000" w:rsidR="00000000" w:rsidRPr="00000000">
              <w:rPr>
                <w:rtl w:val="0"/>
              </w:rPr>
              <w:t xml:space="preserve">, </w:t>
            </w:r>
            <w:r w:rsidDel="00000000" w:rsidR="00000000" w:rsidRPr="00000000">
              <w:rPr>
                <w:i w:val="1"/>
                <w:iCs w:val="1"/>
                <w:rtl w:val="0"/>
              </w:rPr>
              <w:t xml:space="preserve">19</w:t>
            </w:r>
            <w:r w:rsidDel="00000000" w:rsidR="00000000" w:rsidRPr="00000000">
              <w:rPr>
                <w:rtl w:val="0"/>
              </w:rPr>
              <w:t xml:space="preserve">(10), 1178–1184.</w:t>
            </w:r>
            <w:hyperlink r:id="rId30">
              <w:r w:rsidDel="00000000" w:rsidR="00000000" w:rsidRPr="00000000">
                <w:rPr>
                  <w:rtl w:val="0"/>
                </w:rPr>
                <w:t xml:space="preserve"> </w:t>
              </w:r>
            </w:hyperlink>
            <w:hyperlink r:id="rId31">
              <w:r w:rsidDel="00000000" w:rsidR="00000000" w:rsidRPr="00000000">
                <w:rPr>
                  <w:color w:val="1155cc"/>
                  <w:u w:val="single"/>
                  <w:rtl w:val="0"/>
                </w:rPr>
                <w:t xml:space="preserve">https://doi.org/10.1038/gim.2017.14</w:t>
              </w:r>
            </w:hyperlink>
            <w:r w:rsidDel="00000000" w:rsidR="00000000" w:rsidRPr="00000000">
              <w:rPr>
                <w:rtl w:val="0"/>
              </w:rPr>
            </w:r>
          </w:p>
          <w:p w:rsidR="00000000" w:rsidDel="00000000" w:rsidP="00000000" w:rsidRDefault="00000000" w:rsidRPr="00000000" w14:paraId="000000A7">
            <w:pPr>
              <w:jc w:val="left"/>
              <w:rPr/>
            </w:pPr>
            <w:r w:rsidDel="00000000" w:rsidR="00000000" w:rsidRPr="00000000">
              <w:rPr>
                <w:rtl w:val="0"/>
              </w:rPr>
            </w:r>
          </w:p>
          <w:p w:rsidR="00000000" w:rsidDel="00000000" w:rsidP="00000000" w:rsidRDefault="00000000" w:rsidRPr="00000000" w14:paraId="000000A8">
            <w:pPr>
              <w:jc w:val="left"/>
              <w:rPr/>
            </w:pPr>
            <w:r w:rsidDel="00000000" w:rsidR="00000000" w:rsidRPr="00000000">
              <w:rPr>
                <w:rtl w:val="0"/>
              </w:rPr>
              <w:t xml:space="preserve">Roy, R., Chun, J., &amp; Powell, S. N. (2012). BRCA1 and BRCA2: Different roles in a common pathway of genome protection. </w:t>
            </w:r>
            <w:r w:rsidDel="00000000" w:rsidR="00000000" w:rsidRPr="00000000">
              <w:rPr>
                <w:i w:val="1"/>
                <w:iCs w:val="1"/>
                <w:rtl w:val="0"/>
              </w:rPr>
              <w:t xml:space="preserve">Nature Reviews Cancer</w:t>
            </w:r>
            <w:r w:rsidDel="00000000" w:rsidR="00000000" w:rsidRPr="00000000">
              <w:rPr>
                <w:rtl w:val="0"/>
              </w:rPr>
              <w:t xml:space="preserve">, </w:t>
            </w:r>
            <w:r w:rsidDel="00000000" w:rsidR="00000000" w:rsidRPr="00000000">
              <w:rPr>
                <w:i w:val="1"/>
                <w:iCs w:val="1"/>
                <w:rtl w:val="0"/>
              </w:rPr>
              <w:t xml:space="preserve">12</w:t>
            </w:r>
            <w:r w:rsidDel="00000000" w:rsidR="00000000" w:rsidRPr="00000000">
              <w:rPr>
                <w:rtl w:val="0"/>
              </w:rPr>
              <w:t xml:space="preserve">(1), 68–78.</w:t>
            </w:r>
            <w:hyperlink r:id="rId32">
              <w:r w:rsidDel="00000000" w:rsidR="00000000" w:rsidRPr="00000000">
                <w:rPr>
                  <w:rtl w:val="0"/>
                </w:rPr>
                <w:t xml:space="preserve"> </w:t>
              </w:r>
            </w:hyperlink>
            <w:hyperlink r:id="rId33">
              <w:r w:rsidDel="00000000" w:rsidR="00000000" w:rsidRPr="00000000">
                <w:rPr>
                  <w:color w:val="1155cc"/>
                  <w:u w:val="single"/>
                  <w:rtl w:val="0"/>
                </w:rPr>
                <w:t xml:space="preserve">https://doi.org/10.1038/nrc3181</w:t>
              </w:r>
            </w:hyperlink>
            <w:r w:rsidDel="00000000" w:rsidR="00000000" w:rsidRPr="00000000">
              <w:rPr>
                <w:rtl w:val="0"/>
              </w:rPr>
            </w:r>
          </w:p>
          <w:p w:rsidR="00000000" w:rsidDel="00000000" w:rsidP="00000000" w:rsidRDefault="00000000" w:rsidRPr="00000000" w14:paraId="000000A9">
            <w:pPr>
              <w:jc w:val="left"/>
              <w:rPr/>
            </w:pPr>
            <w:r w:rsidDel="00000000" w:rsidR="00000000" w:rsidRPr="00000000">
              <w:rPr>
                <w:rtl w:val="0"/>
              </w:rPr>
            </w:r>
          </w:p>
          <w:p w:rsidR="00000000" w:rsidDel="00000000" w:rsidP="00000000" w:rsidRDefault="00000000" w:rsidRPr="00000000" w14:paraId="000000AA">
            <w:pPr>
              <w:jc w:val="left"/>
              <w:rPr/>
            </w:pPr>
            <w:r w:rsidDel="00000000" w:rsidR="00000000" w:rsidRPr="00000000">
              <w:rPr>
                <w:rtl w:val="0"/>
              </w:rPr>
              <w:t xml:space="preserve">den Dunnen, J. T., Dalgleish, R., Maglott, D. R., Hart, R. K., Greenblatt, M. S., McGowan-Jordan, J., Roux, A. F., Smith, T., Antonarakis, S. E., &amp; Taschner, P. E. M. (2016). HGVS recommendations for the description of sequence variants: 2016 update. </w:t>
            </w:r>
            <w:r w:rsidDel="00000000" w:rsidR="00000000" w:rsidRPr="00000000">
              <w:rPr>
                <w:i w:val="1"/>
                <w:iCs w:val="1"/>
                <w:rtl w:val="0"/>
              </w:rPr>
              <w:t xml:space="preserve">Human Mutation</w:t>
            </w:r>
            <w:r w:rsidDel="00000000" w:rsidR="00000000" w:rsidRPr="00000000">
              <w:rPr>
                <w:rtl w:val="0"/>
              </w:rPr>
              <w:t xml:space="preserve">, </w:t>
            </w:r>
            <w:r w:rsidDel="00000000" w:rsidR="00000000" w:rsidRPr="00000000">
              <w:rPr>
                <w:i w:val="1"/>
                <w:iCs w:val="1"/>
                <w:rtl w:val="0"/>
              </w:rPr>
              <w:t xml:space="preserve">37</w:t>
            </w:r>
            <w:r w:rsidDel="00000000" w:rsidR="00000000" w:rsidRPr="00000000">
              <w:rPr>
                <w:rtl w:val="0"/>
              </w:rPr>
              <w:t xml:space="preserve">(6), 564–569.</w:t>
            </w:r>
            <w:hyperlink r:id="rId34">
              <w:r w:rsidDel="00000000" w:rsidR="00000000" w:rsidRPr="00000000">
                <w:rPr>
                  <w:rtl w:val="0"/>
                </w:rPr>
                <w:t xml:space="preserve"> </w:t>
              </w:r>
            </w:hyperlink>
            <w:hyperlink r:id="rId35">
              <w:r w:rsidDel="00000000" w:rsidR="00000000" w:rsidRPr="00000000">
                <w:rPr>
                  <w:color w:val="1155cc"/>
                  <w:u w:val="single"/>
                  <w:rtl w:val="0"/>
                </w:rPr>
                <w:t xml:space="preserve">https://doi.org/10.1002/humu.22981</w:t>
              </w:r>
            </w:hyperlink>
            <w:r w:rsidDel="00000000" w:rsidR="00000000" w:rsidRPr="00000000">
              <w:rPr>
                <w:rtl w:val="0"/>
              </w:rPr>
            </w:r>
          </w:p>
          <w:p w:rsidR="00000000" w:rsidDel="00000000" w:rsidP="00000000" w:rsidRDefault="00000000" w:rsidRPr="00000000" w14:paraId="000000AB">
            <w:pPr>
              <w:jc w:val="left"/>
              <w:rPr/>
            </w:pPr>
            <w:r w:rsidDel="00000000" w:rsidR="00000000" w:rsidRPr="00000000">
              <w:rPr>
                <w:rtl w:val="0"/>
              </w:rPr>
            </w:r>
          </w:p>
          <w:p w:rsidR="00000000" w:rsidDel="00000000" w:rsidP="00000000" w:rsidRDefault="00000000" w:rsidRPr="00000000" w14:paraId="000000AC">
            <w:pPr>
              <w:jc w:val="left"/>
              <w:rPr/>
            </w:pPr>
            <w:r w:rsidDel="00000000" w:rsidR="00000000" w:rsidRPr="00000000">
              <w:rPr>
                <w:rtl w:val="0"/>
              </w:rPr>
              <w:t xml:space="preserve">Concord Consortium. (2023). </w:t>
            </w:r>
            <w:r w:rsidDel="00000000" w:rsidR="00000000" w:rsidRPr="00000000">
              <w:rPr>
                <w:i w:val="1"/>
                <w:iCs w:val="1"/>
                <w:rtl w:val="0"/>
              </w:rPr>
              <w:t xml:space="preserve">CODAP: Common Online Data Analysis Platform</w:t>
            </w:r>
            <w:r w:rsidDel="00000000" w:rsidR="00000000" w:rsidRPr="00000000">
              <w:rPr>
                <w:rtl w:val="0"/>
              </w:rPr>
              <w:t xml:space="preserve"> (Version 3) [Web-based software].</w:t>
            </w:r>
            <w:hyperlink r:id="rId36">
              <w:r w:rsidDel="00000000" w:rsidR="00000000" w:rsidRPr="00000000">
                <w:rPr>
                  <w:rtl w:val="0"/>
                </w:rPr>
                <w:t xml:space="preserve"> </w:t>
              </w:r>
            </w:hyperlink>
            <w:hyperlink r:id="rId37">
              <w:r w:rsidDel="00000000" w:rsidR="00000000" w:rsidRPr="00000000">
                <w:rPr>
                  <w:color w:val="1155cc"/>
                  <w:u w:val="single"/>
                  <w:rtl w:val="0"/>
                </w:rPr>
                <w:t xml:space="preserve">https://codap.concord.org</w:t>
              </w:r>
            </w:hyperlink>
            <w:r w:rsidDel="00000000" w:rsidR="00000000" w:rsidRPr="00000000">
              <w:rPr>
                <w:rtl w:val="0"/>
              </w:rPr>
            </w:r>
          </w:p>
          <w:p w:rsidR="00000000" w:rsidDel="00000000" w:rsidP="00000000" w:rsidRDefault="00000000" w:rsidRPr="00000000" w14:paraId="000000AD">
            <w:pPr>
              <w:jc w:val="left"/>
              <w:rPr/>
            </w:pPr>
            <w:r w:rsidDel="00000000" w:rsidR="00000000" w:rsidRPr="00000000">
              <w:rPr>
                <w:rtl w:val="0"/>
              </w:rPr>
            </w:r>
          </w:p>
          <w:p w:rsidR="00000000" w:rsidDel="00000000" w:rsidP="00000000" w:rsidRDefault="00000000" w:rsidRPr="00000000" w14:paraId="000000AE">
            <w:pPr>
              <w:jc w:val="left"/>
              <w:rPr/>
            </w:pPr>
            <w:r w:rsidDel="00000000" w:rsidR="00000000" w:rsidRPr="00000000">
              <w:rPr>
                <w:rtl w:val="0"/>
              </w:rPr>
              <w:t xml:space="preserve">NGSS Lead States. (2013). </w:t>
            </w:r>
            <w:r w:rsidDel="00000000" w:rsidR="00000000" w:rsidRPr="00000000">
              <w:rPr>
                <w:i w:val="1"/>
                <w:iCs w:val="1"/>
                <w:rtl w:val="0"/>
              </w:rPr>
              <w:t xml:space="preserve">Next Generation Science Standards: For states, by states</w:t>
            </w:r>
            <w:r w:rsidDel="00000000" w:rsidR="00000000" w:rsidRPr="00000000">
              <w:rPr>
                <w:rtl w:val="0"/>
              </w:rPr>
              <w:t xml:space="preserve">. National Academies Press.</w:t>
            </w:r>
            <w:hyperlink r:id="rId38">
              <w:r w:rsidDel="00000000" w:rsidR="00000000" w:rsidRPr="00000000">
                <w:rPr>
                  <w:rtl w:val="0"/>
                </w:rPr>
                <w:t xml:space="preserve"> </w:t>
              </w:r>
            </w:hyperlink>
            <w:hyperlink r:id="rId39">
              <w:r w:rsidDel="00000000" w:rsidR="00000000" w:rsidRPr="00000000">
                <w:rPr>
                  <w:color w:val="1155cc"/>
                  <w:u w:val="single"/>
                  <w:rtl w:val="0"/>
                </w:rPr>
                <w:t xml:space="preserve">https://www.nextgenscience.org</w:t>
              </w:r>
            </w:hyperlink>
            <w:r w:rsidDel="00000000" w:rsidR="00000000" w:rsidRPr="00000000">
              <w:rPr>
                <w:rtl w:val="0"/>
              </w:rPr>
            </w:r>
          </w:p>
        </w:tc>
      </w:tr>
    </w:tbl>
    <w:p w:rsidR="00000000" w:rsidDel="00000000" w:rsidP="00000000" w:rsidRDefault="00000000" w:rsidRPr="00000000" w14:paraId="000000AF">
      <w:pPr>
        <w:rPr>
          <w:i w:val="1"/>
          <w:iCs w:val="1"/>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Roboto" w:cs="Roboto" w:eastAsia="Roboto" w:hAnsi="Roboto"/>
        <w:color w:val="0a0a0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480" w:hanging="260"/>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hyperlink" Target="https://gizmos.explorelearning.com/find-gizmos/lesson-info?resourceId=439" TargetMode="External"/><Relationship Id="rId22" Type="http://schemas.openxmlformats.org/officeDocument/2006/relationships/hyperlink" Target="https://brcaexchange.org" TargetMode="External"/><Relationship Id="rId21" Type="http://schemas.openxmlformats.org/officeDocument/2006/relationships/hyperlink" Target="https://connectedbio.org/resources/dna-mutations-protein-structure.html" TargetMode="External"/><Relationship Id="rId24" Type="http://schemas.openxmlformats.org/officeDocument/2006/relationships/hyperlink" Target="https://doi.org/10.1371/journal.pgen.1007752" TargetMode="External"/><Relationship Id="rId23" Type="http://schemas.openxmlformats.org/officeDocument/2006/relationships/hyperlink" Target="https://brcaexchange.or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genecards.org" TargetMode="External"/><Relationship Id="rId26" Type="http://schemas.openxmlformats.org/officeDocument/2006/relationships/hyperlink" Target="https://doi.org/10.1002/humu.21628" TargetMode="External"/><Relationship Id="rId25" Type="http://schemas.openxmlformats.org/officeDocument/2006/relationships/hyperlink" Target="https://doi.org/10.1371/journal.pgen.1007752" TargetMode="External"/><Relationship Id="rId28" Type="http://schemas.openxmlformats.org/officeDocument/2006/relationships/hyperlink" Target="https://doi.org/10.1001/jama.2017.7112" TargetMode="External"/><Relationship Id="rId27" Type="http://schemas.openxmlformats.org/officeDocument/2006/relationships/hyperlink" Target="https://doi.org/10.1002/humu.21628" TargetMode="External"/><Relationship Id="rId5" Type="http://schemas.openxmlformats.org/officeDocument/2006/relationships/styles" Target="styles.xml"/><Relationship Id="rId6" Type="http://schemas.openxmlformats.org/officeDocument/2006/relationships/hyperlink" Target="https://codap.concord.org/beta#shared=https%3A%2F%2Fcfm-shared.concord.org%2Fwz1yVWa2ig8FClSwVMeM%2Ffile.json" TargetMode="External"/><Relationship Id="rId29" Type="http://schemas.openxmlformats.org/officeDocument/2006/relationships/hyperlink" Target="https://doi.org/10.1001/jama.2017.7112" TargetMode="External"/><Relationship Id="rId7" Type="http://schemas.openxmlformats.org/officeDocument/2006/relationships/hyperlink" Target="http://brcanexchange.org" TargetMode="External"/><Relationship Id="rId8" Type="http://schemas.openxmlformats.org/officeDocument/2006/relationships/hyperlink" Target="http://proteinatlas.org" TargetMode="External"/><Relationship Id="rId31" Type="http://schemas.openxmlformats.org/officeDocument/2006/relationships/hyperlink" Target="https://doi.org/10.1038/gim.2017.14" TargetMode="External"/><Relationship Id="rId30" Type="http://schemas.openxmlformats.org/officeDocument/2006/relationships/hyperlink" Target="https://doi.org/10.1038/gim.2017.14" TargetMode="External"/><Relationship Id="rId11" Type="http://schemas.openxmlformats.org/officeDocument/2006/relationships/hyperlink" Target="https://docs.google.com/spreadsheets/u/0/d/18L4wWRhsyMChI58I_oQgaWaL_ngatmOHNvpwKB8JRPg/edit" TargetMode="External"/><Relationship Id="rId33" Type="http://schemas.openxmlformats.org/officeDocument/2006/relationships/hyperlink" Target="https://doi.org/10.1038/nrc3181" TargetMode="External"/><Relationship Id="rId10" Type="http://schemas.openxmlformats.org/officeDocument/2006/relationships/hyperlink" Target="https://codap.concord.org/beta#shared=https%3A%2F%2Fcfm-shared.concord.org%2FEk02KbHOt5Cpyw1NZG65%2Ffile.json" TargetMode="External"/><Relationship Id="rId32" Type="http://schemas.openxmlformats.org/officeDocument/2006/relationships/hyperlink" Target="https://doi.org/10.1038/nrc3181" TargetMode="External"/><Relationship Id="rId13" Type="http://schemas.openxmlformats.org/officeDocument/2006/relationships/hyperlink" Target="https://docs.google.com/document/d/1r9WD1AFRsmUlWJY5XcGPTpDc7ZKIxNlfA3ASUM0vG7o/edit?usp=sharing" TargetMode="External"/><Relationship Id="rId35" Type="http://schemas.openxmlformats.org/officeDocument/2006/relationships/hyperlink" Target="https://doi.org/10.1002/humu.22981" TargetMode="External"/><Relationship Id="rId12" Type="http://schemas.openxmlformats.org/officeDocument/2006/relationships/hyperlink" Target="https://codap.concord.org/beta#shared=https%3A%2F%2Fcfm-shared.concord.org%2Fwz1yVWa2ig8FClSwVMeM%2Ffile.json" TargetMode="External"/><Relationship Id="rId34" Type="http://schemas.openxmlformats.org/officeDocument/2006/relationships/hyperlink" Target="https://doi.org/10.1002/humu.22981" TargetMode="External"/><Relationship Id="rId15" Type="http://schemas.openxmlformats.org/officeDocument/2006/relationships/hyperlink" Target="https://docs.google.com/spreadsheets/u/0/d/18L4wWRhsyMChI58I_oQgaWaL_ngatmOHNvpwKB8JRPg/edit" TargetMode="External"/><Relationship Id="rId37" Type="http://schemas.openxmlformats.org/officeDocument/2006/relationships/hyperlink" Target="https://codap.concord.org" TargetMode="External"/><Relationship Id="rId14" Type="http://schemas.openxmlformats.org/officeDocument/2006/relationships/hyperlink" Target="https://docs.google.com/document/d/1qJw47vJrzlr5MF4MojUj0c32wRhVqhW3/edit?usp=sharing&amp;ouid=104469515927494332088&amp;rtpof=true&amp;sd=true" TargetMode="External"/><Relationship Id="rId36" Type="http://schemas.openxmlformats.org/officeDocument/2006/relationships/hyperlink" Target="https://codap.concord.org" TargetMode="External"/><Relationship Id="rId17" Type="http://schemas.openxmlformats.org/officeDocument/2006/relationships/hyperlink" Target="https://en.wikipedia.org/wiki/DNA_repair" TargetMode="External"/><Relationship Id="rId39" Type="http://schemas.openxmlformats.org/officeDocument/2006/relationships/hyperlink" Target="https://www.nextgenscience.org" TargetMode="External"/><Relationship Id="rId16" Type="http://schemas.openxmlformats.org/officeDocument/2006/relationships/hyperlink" Target="https://pmc.ncbi.nlm.nih.gov/articles/PMC2262034/" TargetMode="External"/><Relationship Id="rId38" Type="http://schemas.openxmlformats.org/officeDocument/2006/relationships/hyperlink" Target="https://www.nextgenscience.org" TargetMode="External"/><Relationship Id="rId19" Type="http://schemas.openxmlformats.org/officeDocument/2006/relationships/hyperlink" Target="https://www.genome.gov/genetics-glossary/Deoxyribonucleic-Acid-DNA#:~:text=Definition&amp;text=Deoxyribonucleic%20acid%20(abbreviated%20DNA)%20is,a%20protein%20or%20RNA%20molecule" TargetMode="External"/><Relationship Id="rId18" Type="http://schemas.openxmlformats.org/officeDocument/2006/relationships/hyperlink" Target="https://www.youtube.com/watch?v=sX6LncNjTFU"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